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Tarefa 6 — Processos que se comunicam</w:t>
      </w:r>
    </w:p>
    <w:p>
      <w:pPr>
        <w:pStyle w:val="Subttulo"/>
      </w:pPr>
      <w:r>
        <w:t xml:space="preserve">Modelagem analítica BPMN · Escola Aprender e Gráfica Traço Certo</w:t>
      </w:r>
    </w:p>
    <w:p>
      <w:pPr>
        <w:pStyle w:val="Author"/>
      </w:pPr>
      <w:r>
        <w:t xml:space="preserve">Flávio Luiz Seixas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duplas ·</w:t>
      </w:r>
      <w:r>
        <w:t xml:space="preserve"> </w:t>
      </w:r>
      <w:r>
        <w:rPr>
          <w:b/>
          <w:bCs/>
        </w:rPr>
        <w:t xml:space="preserve">Tempo sugerido:</w:t>
      </w:r>
      <w:r>
        <w:t xml:space="preserve"> </w:t>
      </w:r>
      <w:r>
        <w:t xml:space="preserve">80 minutos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10 pontos.</w:t>
      </w:r>
    </w:p>
    <w:p>
      <w:pPr>
        <w:pStyle w:val="Corpodetexto"/>
      </w:pPr>
      <w:r>
        <w:rPr>
          <w:b/>
          <w:bCs/>
        </w:rPr>
        <w:t xml:space="preserve">Objetivo:</w:t>
      </w:r>
      <w:r>
        <w:t xml:space="preserve"> </w:t>
      </w:r>
      <w:r>
        <w:t xml:space="preserve">representar mensagens que iniciam um processo e permitem a continuidade de outro, distinguindo o trabalho de cada participante, os envios, as esperas e os resultados da colaboração.</w:t>
      </w:r>
    </w:p>
    <w:bookmarkStart w:id="17" w:name="Xbdca7db9995420829fc803a2d5dcd6aa1d2d8de"/>
    <w:p>
      <w:pPr>
        <w:pStyle w:val="Ttulo2"/>
      </w:pPr>
      <w:r>
        <w:t xml:space="preserve">Case fictício — Escola Aprender e Gráfica Traço Certo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Escola Aprender</w:t>
      </w:r>
      <w:r>
        <w:t xml:space="preserve"> </w:t>
      </w:r>
      <w:r>
        <w:t xml:space="preserve">oferece cursos de curta duração e encomenda apostilas à</w:t>
      </w:r>
      <w:r>
        <w:t xml:space="preserve"> </w:t>
      </w:r>
      <w:r>
        <w:rPr>
          <w:b/>
          <w:bCs/>
        </w:rPr>
        <w:t xml:space="preserve">Gráfica Traço Certo</w:t>
      </w:r>
      <w:r>
        <w:t xml:space="preserve">, uma empresa independente. Cada organização controla seu próprio trabalho. A encomenda avança por meio de mensagens trocadas por e-mail, identificadas pelo</w:t>
      </w:r>
      <w:r>
        <w:t xml:space="preserve"> </w:t>
      </w:r>
      <w:r>
        <w:rPr>
          <w:b/>
          <w:bCs/>
        </w:rPr>
        <w:t xml:space="preserve">número do pedido</w:t>
      </w:r>
      <w:r>
        <w:t xml:space="preserve">.</w:t>
      </w:r>
    </w:p>
    <w:p>
      <w:pPr>
        <w:pStyle w:val="Corpodetexto"/>
      </w:pPr>
      <w:r>
        <w:t xml:space="preserve">O processo da escola começa quando surge a necessidade de apostilas para uma turma. A secretaria reúne o arquivo final, a quantidade de exemplares e a data desejada. Atribui um número ao pedido e envia à gráfica uma</w:t>
      </w:r>
      <w:r>
        <w:t xml:space="preserve"> </w:t>
      </w:r>
      <w:r>
        <w:rPr>
          <w:b/>
          <w:bCs/>
        </w:rPr>
        <w:t xml:space="preserve">solicitação de orçamento</w:t>
      </w:r>
      <w:r>
        <w:t xml:space="preserve">. Depois do envio, aguarda a resposta.</w:t>
      </w:r>
    </w:p>
    <w:p>
      <w:pPr>
        <w:pStyle w:val="Corpodetexto"/>
      </w:pPr>
      <w:r>
        <w:t xml:space="preserve">O</w:t>
      </w:r>
      <w:r>
        <w:t xml:space="preserve"> </w:t>
      </w:r>
      <w:r>
        <w:rPr>
          <w:b/>
          <w:bCs/>
        </w:rPr>
        <w:t xml:space="preserve">recebimento da solicitação inicia um novo atendimento na gráfica</w:t>
      </w:r>
      <w:r>
        <w:t xml:space="preserve">. A equipe analisa o pedido, calcula o preço e define a data de disponibilização. Em seguida, envia o</w:t>
      </w:r>
      <w:r>
        <w:t xml:space="preserve"> </w:t>
      </w:r>
      <w:r>
        <w:rPr>
          <w:b/>
          <w:bCs/>
        </w:rPr>
        <w:t xml:space="preserve">orçamento</w:t>
      </w:r>
      <w:r>
        <w:t xml:space="preserve"> </w:t>
      </w:r>
      <w:r>
        <w:t xml:space="preserve">à escola e aguarda sua decisão. A gráfica ainda não imprime as apostilas.</w:t>
      </w:r>
    </w:p>
    <w:p>
      <w:pPr>
        <w:pStyle w:val="Corpodetexto"/>
      </w:pPr>
      <w:r>
        <w:t xml:space="preserve">Ao receber o orçamento, a escola avalia o preço e o prazo. Se ambos forem aceitáveis, registra a aprovação; caso contrário, registra a recusa. Nos dois casos, envia uma</w:t>
      </w:r>
      <w:r>
        <w:t xml:space="preserve"> </w:t>
      </w:r>
      <w:r>
        <w:rPr>
          <w:b/>
          <w:bCs/>
        </w:rPr>
        <w:t xml:space="preserve">decisão sobre o orçamento</w:t>
      </w:r>
      <w:r>
        <w:t xml:space="preserve">, informando “aprovado” ou “recusado”. Se recusar, a escola encerra seu pedido sem contratação.</w:t>
      </w:r>
    </w:p>
    <w:p>
      <w:pPr>
        <w:pStyle w:val="Corpodetexto"/>
      </w:pPr>
      <w:r>
        <w:t xml:space="preserve">Quando recebe a decisão, a gráfica verifica o resultado. Se for uma recusa, registra o encerramento do atendimento, sem produzir o material. Se for uma aprovação, imprime, confere e embala as apostilas. Só então envia o aviso de</w:t>
      </w:r>
      <w:r>
        <w:t xml:space="preserve"> </w:t>
      </w:r>
      <w:r>
        <w:rPr>
          <w:b/>
          <w:bCs/>
        </w:rPr>
        <w:t xml:space="preserve">material pronto para retirada</w:t>
      </w:r>
      <w:r>
        <w:t xml:space="preserve">. Após esse aviso, aguarda a confirmação de recebimento da escola.</w:t>
      </w:r>
    </w:p>
    <w:p>
      <w:pPr>
        <w:pStyle w:val="Corpodetexto"/>
      </w:pPr>
      <w:r>
        <w:t xml:space="preserve">No caminho aprovado, a escola aguarda o aviso de material pronto. Ao recebê-lo, um funcionário retira as apostilas e confere o material. A secretaria registra o recebimento e envia à gráfica uma</w:t>
      </w:r>
      <w:r>
        <w:t xml:space="preserve"> </w:t>
      </w:r>
      <w:r>
        <w:rPr>
          <w:b/>
          <w:bCs/>
        </w:rPr>
        <w:t xml:space="preserve">confirmação de recebimento</w:t>
      </w:r>
      <w:r>
        <w:t xml:space="preserve">, encerrando o processo da escola. A gráfica recebe essa confirmação, registra a conclusão e encerra seu próprio atendimento.</w:t>
      </w:r>
    </w:p>
    <w:p>
      <w:pPr>
        <w:pStyle w:val="Corpodetexto"/>
      </w:pPr>
      <w:r>
        <w:rPr>
          <w:b/>
          <w:bCs/>
        </w:rPr>
        <w:t xml:space="preserve">Recorte e premissas:</w:t>
      </w:r>
    </w:p>
    <w:p>
      <w:pPr>
        <w:pStyle w:val="Compact"/>
        <w:numPr>
          <w:ilvl w:val="0"/>
          <w:numId w:val="1001"/>
        </w:numPr>
      </w:pPr>
      <w:r>
        <w:t xml:space="preserve">Cada pedido trata de um lote de apostilas e de um único orçamento, aprovado ou recusado integralmente. O arquivo está correto, e a gráfica consegue produzir o material se houver aprovação.</w:t>
      </w:r>
    </w:p>
    <w:p>
      <w:pPr>
        <w:pStyle w:val="Compact"/>
        <w:numPr>
          <w:ilvl w:val="0"/>
          <w:numId w:val="1001"/>
        </w:numPr>
      </w:pPr>
      <w:r>
        <w:t xml:space="preserve">Todas as mensagens trazem o número do pedido. A decisão de aprovação ou recusa é enviada uma única vez. A resposta deve ser associada ao atendimento correspondente.</w:t>
      </w:r>
    </w:p>
    <w:p>
      <w:pPr>
        <w:pStyle w:val="Compact"/>
        <w:numPr>
          <w:ilvl w:val="0"/>
          <w:numId w:val="1001"/>
        </w:numPr>
      </w:pPr>
      <w:r>
        <w:t xml:space="preserve">As mensagens chegam ao destinatário e ficam disponíveis até serem tratadas. Escola e gráfica sempre respondem, embora não necessariamente de imediato.</w:t>
      </w:r>
    </w:p>
    <w:p>
      <w:pPr>
        <w:pStyle w:val="Compact"/>
        <w:numPr>
          <w:ilvl w:val="0"/>
          <w:numId w:val="1001"/>
        </w:numPr>
      </w:pPr>
      <w:r>
        <w:t xml:space="preserve">No caminho aprovado, a retirada acontece e a conferência não encontra divergências. Pagamentos, transporte, revisões de arquivo, perda de mensagens, cancelamento após aprovação e controle de prazos ficam fora do escopo.</w:t>
      </w:r>
    </w:p>
    <w:p>
      <w:pPr>
        <w:pStyle w:val="Compact"/>
        <w:numPr>
          <w:ilvl w:val="0"/>
          <w:numId w:val="1001"/>
        </w:numPr>
      </w:pPr>
      <w:r>
        <w:t xml:space="preserve">A entrega física das apostilas e a mensagem que confirma seu recebimento são ocorrências distintas. O aviso de material pronto não comprova que a escola já recebeu o lote.</w:t>
      </w:r>
    </w:p>
    <w:p>
      <w:pPr>
        <w:pStyle w:val="Compact"/>
        <w:numPr>
          <w:ilvl w:val="0"/>
          <w:numId w:val="1001"/>
        </w:numPr>
      </w:pPr>
      <w:r>
        <w:t xml:space="preserve">Modelem o</w:t>
      </w:r>
      <w:r>
        <w:t xml:space="preserve"> </w:t>
      </w:r>
      <w:r>
        <w:rPr>
          <w:b/>
          <w:bCs/>
        </w:rPr>
        <w:t xml:space="preserve">processo atual (AS-IS)</w:t>
      </w:r>
      <w:r>
        <w:t xml:space="preserve">. O e-mail é o meio de comunicação do caso; não é necessário configurar sistemas ou automatizar os envios.</w:t>
      </w:r>
    </w:p>
    <w:p>
      <w:r>
        <w:br w:type="page"/>
      </w:r>
    </w:p>
    <w:bookmarkEnd w:id="17"/>
    <w:bookmarkStart w:id="18" w:name="Xfe8060ae492384415363d25b6656149d83186cb"/>
    <w:p>
      <w:pPr>
        <w:pStyle w:val="Ttulo2"/>
      </w:pPr>
      <w:r>
        <w:t xml:space="preserve">Parte 1 — Visão descritiva da escola (2 pontos)</w:t>
      </w:r>
    </w:p>
    <w:p>
      <w:pPr>
        <w:pStyle w:val="FirstParagraph"/>
      </w:pPr>
      <w:r>
        <w:t xml:space="preserve">Desenhem uma visão geral do atendimento</w:t>
      </w:r>
      <w:r>
        <w:t xml:space="preserve"> </w:t>
      </w:r>
      <w:r>
        <w:rPr>
          <w:b/>
          <w:bCs/>
        </w:rPr>
        <w:t xml:space="preserve">sob a perspectiva da Escola Aprender</w:t>
      </w:r>
      <w:r>
        <w:t xml:space="preserve">, com uma pool da escola, início, atividades principais, decisão de aprovação e dois resultados:</w:t>
      </w:r>
      <w:r>
        <w:t xml:space="preserve"> </w:t>
      </w:r>
      <w:r>
        <w:rPr>
          <w:b/>
          <w:bCs/>
        </w:rPr>
        <w:t xml:space="preserve">“Apostilas recebidas”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“Pedido encerrado sem contratação”</w:t>
      </w:r>
      <w:r>
        <w:t xml:space="preserve">.</w:t>
      </w:r>
    </w:p>
    <w:p>
      <w:pPr>
        <w:pStyle w:val="Corpodetexto"/>
      </w:pPr>
      <w:r>
        <w:t xml:space="preserve">Agrupem os detalhes da comunicação em atividades amplas, como “Solicitar e obter orçamento” e “Comunicar aprovação e acompanhar pedido”. Não coloquem a impressão das apostilas dentro da escola: esse trabalho pertence à gráfica. Nesta versão, não é necessário desenhar o processo da gráfica.</w:t>
      </w:r>
    </w:p>
    <w:p>
      <w:pPr>
        <w:pStyle w:val="Corpodetexto"/>
      </w:pPr>
      <w:r>
        <w:t xml:space="preserve">Incluam uma anotação:</w:t>
      </w:r>
      <w:r>
        <w:t xml:space="preserve"> </w:t>
      </w:r>
      <w:r>
        <w:rPr>
          <w:b/>
          <w:bCs/>
        </w:rPr>
        <w:t xml:space="preserve">“Visão da escola: envios e esperas agrupados; produção realizada pela gráfica externa.”</w:t>
      </w:r>
      <w:r>
        <w:t xml:space="preserve"> </w:t>
      </w:r>
      <w:r>
        <w:t xml:space="preserve">Guardem essa versão para compará-la com o modelo analítico.</w:t>
      </w:r>
    </w:p>
    <w:bookmarkEnd w:id="18"/>
    <w:bookmarkStart w:id="19" w:name="X5457d69ee57484a6bfa16a338ff2f97bc8d8ccb"/>
    <w:p>
      <w:pPr>
        <w:pStyle w:val="Ttulo2"/>
      </w:pPr>
      <w:r>
        <w:t xml:space="preserve">Parte 2 — Modelo analítico de colaboração (6 pontos)</w:t>
      </w:r>
    </w:p>
    <w:p>
      <w:pPr>
        <w:pStyle w:val="FirstParagraph"/>
      </w:pPr>
      <w:r>
        <w:t xml:space="preserve">Construam um diagrama com</w:t>
      </w:r>
      <w:r>
        <w:t xml:space="preserve"> </w:t>
      </w:r>
      <w:r>
        <w:rPr>
          <w:b/>
          <w:bCs/>
        </w:rPr>
        <w:t xml:space="preserve">duas pools expandidas</w:t>
      </w:r>
      <w:r>
        <w:t xml:space="preserve">, mostrando o processo de cada participante:</w:t>
      </w:r>
      <w:r>
        <w:t xml:space="preserve"> </w:t>
      </w:r>
      <w:r>
        <w:rPr>
          <w:b/>
          <w:bCs/>
        </w:rPr>
        <w:t xml:space="preserve">Escola Aprender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Gráfica Traço Certo</w:t>
      </w:r>
      <w:r>
        <w:t xml:space="preserve">. Raias internas são opcionais. As duas organizações não devem ser representadas como raias de uma única pool.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Delimitem os processos:</w:t>
      </w:r>
      <w:r>
        <w:t xml:space="preserve"> </w:t>
      </w:r>
      <w:r>
        <w:t xml:space="preserve">representem o início e os possíveis encerramentos de cada participante. O processo da gráfica deve começar com um</w:t>
      </w:r>
      <w:r>
        <w:t xml:space="preserve"> </w:t>
      </w:r>
      <w:r>
        <w:rPr>
          <w:b/>
          <w:bCs/>
        </w:rPr>
        <w:t xml:space="preserve">evento de início de mensagem</w:t>
      </w:r>
      <w:r>
        <w:t xml:space="preserve">, acionado pela solicitação da escola.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Explicitem os disparos:</w:t>
      </w:r>
      <w:r>
        <w:t xml:space="preserve"> </w:t>
      </w:r>
      <w:r>
        <w:t xml:space="preserve">usem</w:t>
      </w:r>
      <w:r>
        <w:t xml:space="preserve"> </w:t>
      </w:r>
      <w:r>
        <w:rPr>
          <w:b/>
          <w:bCs/>
        </w:rPr>
        <w:t xml:space="preserve">eventos intermediários de envio de mensagem</w:t>
      </w:r>
      <w:r>
        <w:t xml:space="preserve"> </w:t>
      </w:r>
      <w:r>
        <w:t xml:space="preserve">para representar as comunicações previstas no relato. Diferenciem preparar ou avaliar uma informação do ato de enviá-la.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Explicitem as esperas:</w:t>
      </w:r>
      <w:r>
        <w:t xml:space="preserve"> </w:t>
      </w:r>
      <w:r>
        <w:t xml:space="preserve">usem</w:t>
      </w:r>
      <w:r>
        <w:t xml:space="preserve"> </w:t>
      </w:r>
      <w:r>
        <w:rPr>
          <w:b/>
          <w:bCs/>
        </w:rPr>
        <w:t xml:space="preserve">eventos intermediários de recebimento de mensagem</w:t>
      </w:r>
      <w:r>
        <w:t xml:space="preserve"> </w:t>
      </w:r>
      <w:r>
        <w:t xml:space="preserve">nos processos que já estão em andamento. O fluxo local deve aguardar a comunicação correspondente antes de prosseguir.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Conectem os participantes:</w:t>
      </w:r>
      <w:r>
        <w:t xml:space="preserve"> </w:t>
      </w:r>
      <w:r>
        <w:t xml:space="preserve">usem fluxos de mensagem, com linha tracejada, entre os elementos de envio e recebimento de pools distintas. Dentro de cada pool, mantenham os fluxos de sequência, com linha contínua.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Representem as decisões:</w:t>
      </w:r>
      <w:r>
        <w:t xml:space="preserve"> </w:t>
      </w:r>
      <w:r>
        <w:t xml:space="preserve">a escola decide após avaliar o orçamento. A gráfica escolhe o caminho de produção ou encerramento após receber a decisão da escola. Usem gateways exclusivos com condições claras.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Preservem os dois resultados:</w:t>
      </w:r>
      <w:r>
        <w:t xml:space="preserve"> </w:t>
      </w:r>
      <w:r>
        <w:t xml:space="preserve">a recusa deve ser comunicada e encerrar ambos os processos sem produção. No caminho aprovado, a escola aguarda o material pronto, e a gráfica aguarda a confirmação de recebimento.</w:t>
      </w:r>
    </w:p>
    <w:p>
      <w:pPr>
        <w:pStyle w:val="FirstParagraph"/>
      </w:pPr>
      <w:r>
        <w:t xml:space="preserve">Identifiquem as cinco mensagens no diagrama: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Solicitação de orçamento</w:t>
            </w:r>
          </w:p>
        </w:tc>
        <w:tc>
          <w:tcPr/>
          <w:p>
            <w:pPr>
              <w:pStyle w:val="Compact"/>
            </w:pPr>
            <w:r>
              <w:t xml:space="preserve">Escola → Gráfica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Orçamento</w:t>
            </w:r>
          </w:p>
        </w:tc>
        <w:tc>
          <w:tcPr/>
          <w:p>
            <w:pPr>
              <w:pStyle w:val="Compact"/>
            </w:pPr>
            <w:r>
              <w:t xml:space="preserve">Gráfica → Escola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Decisão sobre o orçamento: aprovado ou recusado</w:t>
            </w:r>
          </w:p>
        </w:tc>
        <w:tc>
          <w:tcPr/>
          <w:p>
            <w:pPr>
              <w:pStyle w:val="Compact"/>
            </w:pPr>
            <w:r>
              <w:t xml:space="preserve">Escola → Gráfica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Material pronto para retirada</w:t>
            </w:r>
          </w:p>
        </w:tc>
        <w:tc>
          <w:tcPr/>
          <w:p>
            <w:pPr>
              <w:pStyle w:val="Compact"/>
            </w:pPr>
            <w:r>
              <w:t xml:space="preserve">Gráfica → Escola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Confirmação de recebimento</w:t>
            </w:r>
          </w:p>
        </w:tc>
        <w:tc>
          <w:tcPr/>
          <w:p>
            <w:pPr>
              <w:pStyle w:val="Compact"/>
            </w:pPr>
            <w:r>
              <w:t xml:space="preserve">Escola → Gráfica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Dica de notação:</w:t>
      </w:r>
      <w:r>
        <w:t xml:space="preserve"> </w:t>
      </w:r>
      <w:r>
        <w:t xml:space="preserve">os eventos de envio têm envelope preenchido; os de recebimento, envelope não preenchido. O evento inicial tem contorno simples; os intermediários, contorno duplo. Cada mensagem tem um destinatário específico; não é necessário usar eventos de sinal.</w:t>
      </w:r>
    </w:p>
    <w:p>
      <w:r>
        <w:br w:type="page"/>
      </w:r>
    </w:p>
    <w:bookmarkEnd w:id="19"/>
    <w:bookmarkStart w:id="20" w:name="Xc0d8821f24810c4d35c546ee4508f377c6d6397"/>
    <w:p>
      <w:pPr>
        <w:pStyle w:val="Ttulo2"/>
      </w:pPr>
      <w:r>
        <w:t xml:space="preserve">Parte 3 — Mensagens, comparação e validação (2 pontos)</w:t>
      </w:r>
    </w:p>
    <w:p>
      <w:pPr>
        <w:pStyle w:val="FirstParagraph"/>
      </w:pPr>
      <w:r>
        <w:t xml:space="preserve">Montem um</w:t>
      </w:r>
      <w:r>
        <w:t xml:space="preserve"> </w:t>
      </w:r>
      <w:r>
        <w:rPr>
          <w:b/>
          <w:bCs/>
        </w:rPr>
        <w:t xml:space="preserve">quadro de mensagens</w:t>
      </w:r>
      <w:r>
        <w:t xml:space="preserve"> </w:t>
      </w:r>
      <w:r>
        <w:t xml:space="preserve">com uma linha para cada código M1–M5. Informem: remetente, destinatário, conteúdo mínimo e efeito do recebimento no processo destinatário. Indiquem qual mensagem inicia um atendimento e quais permitem continuar um atendimento em curso. Incluam o</w:t>
      </w:r>
      <w:r>
        <w:t xml:space="preserve"> </w:t>
      </w:r>
      <w:r>
        <w:rPr>
          <w:b/>
          <w:bCs/>
        </w:rPr>
        <w:t xml:space="preserve">número do pedido</w:t>
      </w:r>
      <w:r>
        <w:t xml:space="preserve"> </w:t>
      </w:r>
      <w:r>
        <w:t xml:space="preserve">no conteúdo de todas elas.</w:t>
      </w:r>
    </w:p>
    <w:p>
      <w:pPr>
        <w:pStyle w:val="Corpodetexto"/>
      </w:pPr>
      <w:r>
        <w:t xml:space="preserve">Respondam brevemente:</w:t>
      </w:r>
    </w:p>
    <w:p>
      <w:pPr>
        <w:pStyle w:val="Compact"/>
        <w:numPr>
          <w:ilvl w:val="0"/>
          <w:numId w:val="1003"/>
        </w:numPr>
      </w:pPr>
      <w:r>
        <w:t xml:space="preserve">O que o modelo analítico revela sobre a colaboração que estava agrupado na visão descritiva? Citem um envio e uma espera correspondentes.</w:t>
      </w:r>
    </w:p>
    <w:p>
      <w:pPr>
        <w:pStyle w:val="Compact"/>
        <w:numPr>
          <w:ilvl w:val="0"/>
          <w:numId w:val="1003"/>
        </w:numPr>
      </w:pPr>
      <w:r>
        <w:t xml:space="preserve">Por que encerrar o processo da escola após uma recusa não basta para encerrar o atendimento da gráfica?</w:t>
      </w:r>
    </w:p>
    <w:p>
      <w:pPr>
        <w:pStyle w:val="Compact"/>
        <w:numPr>
          <w:ilvl w:val="0"/>
          <w:numId w:val="1003"/>
        </w:numPr>
      </w:pPr>
      <w:r>
        <w:t xml:space="preserve">Duas turmas fazem pedidos ao mesmo tempo. Como o destinatário identifica a qual atendimento pertence cada mensagem? É necessário transformar esse modelo em executável para explicar essa regra de negócio?</w:t>
      </w:r>
    </w:p>
    <w:p>
      <w:pPr>
        <w:pStyle w:val="FirstParagraph"/>
      </w:pPr>
      <w:r>
        <w:t xml:space="preserve">Percorram o diagrama com os quatro cenários. Registrem o caminho e o estado final ou de espera de</w:t>
      </w:r>
      <w:r>
        <w:t xml:space="preserve"> </w:t>
      </w:r>
      <w:r>
        <w:rPr>
          <w:b/>
          <w:bCs/>
        </w:rPr>
        <w:t xml:space="preserve">cada participante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Situação para conferência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Aprovação</w:t>
            </w:r>
          </w:p>
        </w:tc>
        <w:tc>
          <w:tcPr/>
          <w:p>
            <w:pPr>
              <w:pStyle w:val="Compact"/>
            </w:pPr>
            <w:r>
              <w:t xml:space="preserve">A escola aprova, recebe o aviso, retira o material e confirma o recebimento.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Recusa</w:t>
            </w:r>
          </w:p>
        </w:tc>
        <w:tc>
          <w:tcPr/>
          <w:p>
            <w:pPr>
              <w:pStyle w:val="Compact"/>
            </w:pPr>
            <w:r>
              <w:t xml:space="preserve">A escola recusa e comunica sua decisão. Verifiquem o encerramento dos dois participantes e quais mensagens deixam de ocorrer.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Decisão ainda não recebida</w:t>
            </w:r>
          </w:p>
        </w:tc>
        <w:tc>
          <w:tcPr/>
          <w:p>
            <w:pPr>
              <w:pStyle w:val="Compact"/>
            </w:pPr>
            <w:r>
              <w:t xml:space="preserve">A escola recebeu o orçamento, mas sua decisão ainda não chegou à gráfica. Identifiquem onde a gráfica espera e se ela pode imprimir.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Confirmação ainda não recebida</w:t>
            </w:r>
          </w:p>
        </w:tc>
        <w:tc>
          <w:tcPr/>
          <w:p>
            <w:pPr>
              <w:pStyle w:val="Compact"/>
            </w:pPr>
            <w:r>
              <w:t xml:space="preserve">A escola retirou o material, encerrou seu processo após enviar M5, mas a gráfica ainda não recebeu essa mensagem. Verifiquem se a gráfica pode encerrar.</w:t>
            </w:r>
          </w:p>
        </w:tc>
      </w:tr>
    </w:tbl>
    <w:bookmarkEnd w:id="20"/>
    <w:bookmarkStart w:id="21" w:name="entrega-e-critérios"/>
    <w:p>
      <w:pPr>
        <w:pStyle w:val="Ttulo2"/>
      </w:pPr>
      <w:r>
        <w:t xml:space="preserve">Entrega e critérios</w:t>
      </w:r>
    </w:p>
    <w:p>
      <w:pPr>
        <w:pStyle w:val="FirstParagraph"/>
      </w:pPr>
      <w:r>
        <w:t xml:space="preserve">Entreguem</w:t>
      </w:r>
      <w:r>
        <w:t xml:space="preserve"> </w:t>
      </w:r>
      <w:r>
        <w:rPr>
          <w:b/>
          <w:bCs/>
        </w:rPr>
        <w:t xml:space="preserve">um único PDF</w:t>
      </w:r>
      <w:r>
        <w:t xml:space="preserve">, com os nomes da dupla, o modelo descritivo, o modelo analítico de colaboração, o quadro de mensagens, as três respostas e a conferência dos quatro cenários. São aceitos diagramas em ferramenta BPMN ou desenhos fotografados com boa legibilidade.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Descritivo: perspectiva da escola, decisão, resultados e agrupamento explícito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Analítico: processos separados, disparos e recebimentos, conexões, esperas e encerramentos coerentes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 de mensagens, comparação e validação dos cenários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10,0</w:t>
            </w:r>
          </w:p>
        </w:tc>
      </w:tr>
    </w:tbl>
    <w:p>
      <w:pPr>
        <w:pStyle w:val="Corpodetexto"/>
      </w:pPr>
      <w:r>
        <w:rPr>
          <w:b/>
          <w:bCs/>
        </w:rPr>
        <w:t xml:space="preserve">Conferência final:</w:t>
      </w:r>
      <w:r>
        <w:t xml:space="preserve"> </w:t>
      </w:r>
      <w:r>
        <w:t xml:space="preserve">nenhum fluxo de sequência cruza pools; nenhuma mensagem liga elementos da mesma pool; M1 inicia o processo da gráfica; M2 e M3 são recebidas antes das decisões correspondentes; M4 e M5 só ocorrem no caminho aprovado. O envio não significa que o destinatário já recebeu ou concluiu seu trabalho.</w:t>
      </w:r>
    </w:p>
    <w:bookmarkEnd w:id="21"/>
    <w:sectPr w:rsidR="00737C60">
      <w:footerReference r:id="rId8" w:type="default"/>
      <w:pgSz w:h="16838" w:w="11906"/>
      <w:pgMar w:bottom="879" w:footer="397" w:gutter="0" w:header="397" w:left="1020" w:right="1020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200"/>
      <w:gridCol w:w="2666"/>
    </w:tblGrid>
    <w:tr w:rsidR="00737C60" w14:paraId="09E824A6" w14:textId="77777777">
      <w:tc>
        <w:tcPr>
          <w:tcW w:w="7200" w:type="dxa"/>
          <w:tcBorders>
            <w:top w:val="nil"/>
            <w:left w:val="nil"/>
            <w:bottom w:val="nil"/>
            <w:right w:val="nil"/>
          </w:tcBorders>
        </w:tcPr>
        <w:p w14:paraId="2E3C796E" w14:textId="1A2BD697" w:rsidR="00737C60" w:rsidRDefault="00000000">
          <w:pPr>
            <w:spacing w:after="0"/>
          </w:pPr>
          <w:proofErr w:type="spellStart"/>
          <w:r>
            <w:rPr>
              <w:color w:val="5E6C76"/>
              <w:sz w:val="16"/>
            </w:rPr>
            <w:t>Modelagem</w:t>
          </w:r>
          <w:proofErr w:type="spellEnd"/>
          <w:r>
            <w:rPr>
              <w:color w:val="5E6C76"/>
              <w:sz w:val="16"/>
            </w:rPr>
            <w:t xml:space="preserve"> de </w:t>
          </w:r>
          <w:proofErr w:type="spellStart"/>
          <w:r>
            <w:rPr>
              <w:color w:val="5E6C76"/>
              <w:sz w:val="16"/>
            </w:rPr>
            <w:t>Processos</w:t>
          </w:r>
          <w:proofErr w:type="spellEnd"/>
          <w:r>
            <w:rPr>
              <w:color w:val="5E6C76"/>
              <w:sz w:val="16"/>
            </w:rPr>
            <w:t xml:space="preserve"> de </w:t>
          </w:r>
          <w:proofErr w:type="spellStart"/>
          <w:r>
            <w:rPr>
              <w:color w:val="5E6C76"/>
              <w:sz w:val="16"/>
            </w:rPr>
            <w:t>Negócio</w:t>
          </w:r>
          <w:proofErr w:type="spellEnd"/>
          <w:r>
            <w:rPr>
              <w:color w:val="5E6C76"/>
              <w:sz w:val="16"/>
            </w:rPr>
            <w:t xml:space="preserve"> • Tarefa 6</w:t>
          </w:r>
        </w:p>
      </w:tc>
      <w:tc>
        <w:tcPr>
          <w:tcW w:w="2666" w:type="dxa"/>
          <w:tcBorders>
            <w:top w:val="nil"/>
            <w:left w:val="nil"/>
            <w:bottom w:val="nil"/>
            <w:right w:val="nil"/>
          </w:tcBorders>
        </w:tcPr>
        <w:p w14:paraId="610B4F25" w14:textId="77777777" w:rsidR="00737C60" w:rsidRDefault="00000000">
          <w:pPr>
            <w:spacing w:after="0"/>
            <w:jc w:val="right"/>
          </w:pPr>
          <w:r>
            <w:rPr>
              <w:color w:val="5E6C76"/>
              <w:sz w:val="16"/>
            </w:rPr>
            <w:t xml:space="preserve">p.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20888724" w:numId="1">
    <w:abstractNumId w:val="8"/>
  </w:num>
  <w:num w16cid:durableId="415132416" w:numId="2">
    <w:abstractNumId w:val="6"/>
  </w:num>
  <w:num w16cid:durableId="2032413991" w:numId="3">
    <w:abstractNumId w:val="5"/>
  </w:num>
  <w:num w16cid:durableId="410196098" w:numId="4">
    <w:abstractNumId w:val="4"/>
  </w:num>
  <w:num w16cid:durableId="999043641" w:numId="5">
    <w:abstractNumId w:val="7"/>
  </w:num>
  <w:num w16cid:durableId="539708914" w:numId="6">
    <w:abstractNumId w:val="3"/>
  </w:num>
  <w:num w16cid:durableId="1848715391" w:numId="7">
    <w:abstractNumId w:val="2"/>
  </w:num>
  <w:num w16cid:durableId="324675777" w:numId="8">
    <w:abstractNumId w:val="1"/>
  </w:num>
  <w:num w16cid:durableId="796609795"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43A"/>
    <w:rsid w:val="00255DFA"/>
    <w:rsid w:val="0029639D"/>
    <w:rsid w:val="00326F90"/>
    <w:rsid w:val="003F1243"/>
    <w:rsid w:val="00577125"/>
    <w:rsid w:val="006B74F6"/>
    <w:rsid w:val="00737C60"/>
    <w:rsid w:val="009064E1"/>
    <w:rsid w:val="00A87331"/>
    <w:rsid w:val="00AA1D8D"/>
    <w:rsid w:val="00AB6689"/>
    <w:rsid w:val="00B47730"/>
    <w:rsid w:val="00C17D83"/>
    <w:rsid w:val="00C61033"/>
    <w:rsid w:val="00CB0664"/>
    <w:rsid w:val="00D47F1D"/>
    <w:rsid w:val="00E616CA"/>
    <w:rsid w:val="00EB246B"/>
    <w:rsid w:val="00F016A8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21"/>
    </w:rPr>
  </w:style>
  <w:style w:styleId="Ttulo1" w:type="paragraph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cstheme="majorBidi" w:eastAsiaTheme="majorEastAsia" w:hAnsiTheme="majorHAnsi"/>
      <w:b/>
      <w:bCs/>
      <w:color w:val="17324D"/>
      <w:sz w:val="40"/>
      <w:szCs w:val="28"/>
    </w:rPr>
  </w:style>
  <w:style w:styleId="Ttulo2" w:type="paragraph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val="006965"/>
      <w:sz w:val="28"/>
      <w:szCs w:val="26"/>
    </w:rPr>
  </w:style>
  <w:style w:styleId="Ttulo3" w:type="paragraph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cstheme="majorBidi" w:eastAsiaTheme="majorEastAsia" w:hAnsiTheme="majorHAnsi"/>
      <w:b/>
      <w:bCs/>
      <w:color w:val="17324D"/>
      <w:sz w:val="22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abealho" w:type="paragraph">
    <w:name w:val="header"/>
    <w:basedOn w:val="Normal"/>
    <w:link w:val="Cabealho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abealhoChar" w:type="character">
    <w:name w:val="Cabeçalho Char"/>
    <w:basedOn w:val="Fontepargpadro"/>
    <w:link w:val="Cabealho"/>
    <w:uiPriority w:val="99"/>
    <w:rsid w:val="00E618BF"/>
  </w:style>
  <w:style w:styleId="Rodap" w:type="paragraph">
    <w:name w:val="footer"/>
    <w:basedOn w:val="Normal"/>
    <w:link w:val="Rodap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RodapChar" w:type="character">
    <w:name w:val="Rodapé Char"/>
    <w:basedOn w:val="Fontepargpadro"/>
    <w:link w:val="Rodap"/>
    <w:uiPriority w:val="99"/>
    <w:rsid w:val="00E618BF"/>
  </w:style>
  <w:style w:styleId="SemEspaamento" w:type="paragraph">
    <w:name w:val="No Spacing"/>
    <w:uiPriority w:val="1"/>
    <w:qFormat/>
    <w:rsid w:val="00FC693F"/>
    <w:pPr>
      <w:spacing w:after="0" w:line="240" w:lineRule="auto"/>
    </w:pPr>
  </w:style>
  <w:style w:customStyle="1" w:styleId="Ttulo1Char" w:type="character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tulo2Char" w:type="character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Ttulo3Char" w:type="character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tulo" w:type="paragraph">
    <w:name w:val="Title"/>
    <w:basedOn w:val="Normal"/>
    <w:next w:val="Normal"/>
    <w:link w:val="TtuloChar"/>
    <w:uiPriority w:val="10"/>
    <w:qFormat/>
    <w:rsid w:val="00FC693F"/>
    <w:pPr>
      <w:keepNext/>
      <w:pBdr>
        <w:bottom w:color="4F81BD" w:space="4" w:sz="8" w:themeColor="accent1" w:val="single"/>
      </w:pBdr>
      <w:spacing w:line="240" w:lineRule="auto"/>
      <w:contextualSpacing/>
    </w:pPr>
    <w:rPr>
      <w:rFonts w:asciiTheme="majorHAnsi" w:cstheme="majorBidi" w:eastAsiaTheme="majorEastAsia" w:hAnsiTheme="majorHAnsi"/>
      <w:b/>
      <w:color w:val="17324D"/>
      <w:spacing w:val="5"/>
      <w:kern w:val="28"/>
      <w:sz w:val="60"/>
      <w:szCs w:val="52"/>
    </w:rPr>
  </w:style>
  <w:style w:customStyle="1" w:styleId="TtuloChar" w:type="character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tulo" w:type="paragraph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cstheme="majorBidi" w:eastAsiaTheme="majorEastAsia" w:hAnsiTheme="majorHAnsi"/>
      <w:b/>
      <w:i/>
      <w:iCs/>
      <w:color w:val="007F7B"/>
      <w:spacing w:val="15"/>
      <w:sz w:val="28"/>
      <w:szCs w:val="24"/>
    </w:rPr>
  </w:style>
  <w:style w:customStyle="1" w:styleId="SubttuloChar" w:type="character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argrafodaLista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Corpodetexto" w:type="paragraph">
    <w:name w:val="Body Text"/>
    <w:basedOn w:val="Normal"/>
    <w:link w:val="CorpodetextoChar"/>
    <w:uiPriority w:val="99"/>
    <w:unhideWhenUsed/>
    <w:rsid w:val="00AA1D8D"/>
    <w:pPr>
      <w:spacing w:after="120"/>
    </w:pPr>
  </w:style>
  <w:style w:customStyle="1" w:styleId="CorpodetextoChar" w:type="character">
    <w:name w:val="Corpo de texto Char"/>
    <w:basedOn w:val="Fontepargpadro"/>
    <w:link w:val="Corpodetexto"/>
    <w:uiPriority w:val="99"/>
    <w:rsid w:val="00AA1D8D"/>
  </w:style>
  <w:style w:styleId="Corpodetexto2" w:type="paragraph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customStyle="1" w:styleId="Corpodetexto2Char" w:type="character">
    <w:name w:val="Corpo de texto 2 Char"/>
    <w:basedOn w:val="Fontepargpadro"/>
    <w:link w:val="Corpodetexto2"/>
    <w:uiPriority w:val="99"/>
    <w:rsid w:val="00AA1D8D"/>
  </w:style>
  <w:style w:styleId="Corpodetexto3" w:type="paragraph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Corpodetexto3Char" w:type="characte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styleId="Lista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a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a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Commarcadores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Commarcadores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Commarcadore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Numerada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Numerada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Numerada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adecontinuao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adecontinuao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adecontinuao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Textodemacro" w:type="paragraph">
    <w:name w:val="macro"/>
    <w:link w:val="Textodemacro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TextodemacroChar" w:type="characte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styleId="Citao" w:type="paragraph">
    <w:name w:val="Quote"/>
    <w:basedOn w:val="Normal"/>
    <w:next w:val="Normal"/>
    <w:link w:val="CitaoChar"/>
    <w:uiPriority w:val="29"/>
    <w:qFormat/>
    <w:rsid w:val="00FC693F"/>
    <w:rPr>
      <w:i/>
      <w:iCs/>
      <w:color w:themeColor="text1" w:val="000000"/>
    </w:rPr>
  </w:style>
  <w:style w:customStyle="1" w:styleId="CitaoChar" w:type="character">
    <w:name w:val="Citação Char"/>
    <w:basedOn w:val="Fontepargpadro"/>
    <w:link w:val="Citao"/>
    <w:uiPriority w:val="29"/>
    <w:rsid w:val="00FC693F"/>
    <w:rPr>
      <w:i/>
      <w:iCs/>
      <w:color w:themeColor="text1" w:val="000000"/>
    </w:rPr>
  </w:style>
  <w:style w:customStyle="1" w:styleId="Ttulo4Char" w:type="character">
    <w:name w:val="Título 4 Char"/>
    <w:basedOn w:val="Fontepargpadro"/>
    <w:link w:val="Ttulo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tulo5Char" w:type="character">
    <w:name w:val="Título 5 Char"/>
    <w:basedOn w:val="Fontepargpadro"/>
    <w:link w:val="Ttulo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tulo6Char" w:type="character">
    <w:name w:val="Título 6 Char"/>
    <w:basedOn w:val="Fontepargpadro"/>
    <w:link w:val="Ttulo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tulo7Char" w:type="character">
    <w:name w:val="Título 7 Char"/>
    <w:basedOn w:val="Fontepargpadro"/>
    <w:link w:val="Ttulo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tulo8Char" w:type="character">
    <w:name w:val="Título 8 Char"/>
    <w:basedOn w:val="Fontepargpadro"/>
    <w:link w:val="Ttulo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tulo9Char" w:type="character">
    <w:name w:val="Título 9 Char"/>
    <w:basedOn w:val="Fontepargpadro"/>
    <w:link w:val="Ttulo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Legenda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Forte" w:type="character">
    <w:name w:val="Strong"/>
    <w:basedOn w:val="Fontepargpadro"/>
    <w:uiPriority w:val="22"/>
    <w:qFormat/>
    <w:rsid w:val="00FC693F"/>
    <w:rPr>
      <w:b/>
      <w:bCs/>
    </w:rPr>
  </w:style>
  <w:style w:styleId="nfase" w:type="character">
    <w:name w:val="Emphasis"/>
    <w:basedOn w:val="Fontepargpadro"/>
    <w:uiPriority w:val="20"/>
    <w:qFormat/>
    <w:rsid w:val="00FC693F"/>
    <w:rPr>
      <w:i/>
      <w:iCs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FC693F"/>
    <w:rPr>
      <w:b/>
      <w:bCs/>
      <w:i/>
      <w:iCs/>
      <w:color w:themeColor="accent1" w:val="4F81BD"/>
    </w:rPr>
  </w:style>
  <w:style w:styleId="nfaseSutil" w:type="character">
    <w:name w:val="Subtle Emphasis"/>
    <w:basedOn w:val="Fontepargpadro"/>
    <w:uiPriority w:val="19"/>
    <w:qFormat/>
    <w:rsid w:val="00FC693F"/>
    <w:rPr>
      <w:i/>
      <w:iCs/>
      <w:color w:themeColor="text1" w:themeTint="7F" w:val="808080"/>
    </w:rPr>
  </w:style>
  <w:style w:styleId="nfaseIntensa" w:type="character">
    <w:name w:val="Intense Emphasis"/>
    <w:basedOn w:val="Fontepargpadro"/>
    <w:uiPriority w:val="21"/>
    <w:qFormat/>
    <w:rsid w:val="00FC693F"/>
    <w:rPr>
      <w:b/>
      <w:bCs/>
      <w:i/>
      <w:iCs/>
      <w:color w:themeColor="accent1" w:val="4F81BD"/>
    </w:rPr>
  </w:style>
  <w:style w:styleId="RefernciaSutil" w:type="character">
    <w:name w:val="Subtle Reference"/>
    <w:basedOn w:val="Fontepargpadro"/>
    <w:uiPriority w:val="31"/>
    <w:qFormat/>
    <w:rsid w:val="00FC693F"/>
    <w:rPr>
      <w:smallCaps/>
      <w:color w:themeColor="accent2" w:val="C0504D"/>
      <w:u w:val="single"/>
    </w:rPr>
  </w:style>
  <w:style w:styleId="RefernciaIntensa" w:type="character">
    <w:name w:val="Intense Reference"/>
    <w:basedOn w:val="Fontepargpadro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tulodoLivro" w:type="character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styleId="CabealhodoSumrio" w:type="paragraph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styleId="Tabelacomgrade" w:type="tabl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ombreamentoClaro" w:type="table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SombreamentoClaro-nfase1" w:type="table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SombreamentoClaro-nfase2" w:type="table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SombreamentoClaro-nfase3" w:type="table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SombreamentoClaro-nfase4" w:type="table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SombreamentoClaro-nfase5" w:type="table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SombreamentoClaro-nfase6" w:type="table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aClara" w:type="table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aClara-nfase1" w:type="table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aClara-nfase2" w:type="table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aClara-nfase3" w:type="table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aClara-nfase4" w:type="table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aClara-nfase5" w:type="table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aClara-nfase6" w:type="table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GradeClara" w:type="table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GradeClara-nfase1" w:type="table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GradeClara-nfase2" w:type="table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GradeClara-nfase3" w:type="table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GradeClara-nfase4" w:type="table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GradeClara-nfase5" w:type="table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GradeClara-nfase6" w:type="table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SombreamentoMdio1" w:type="table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mentoMdio1-nfase1" w:type="table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mentoMdio1-nfase2" w:type="table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mentoMdio1-nfase3" w:type="table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mentoMdio1-nfase4" w:type="table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mentoMdio1-nfase5" w:type="table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mentoMdio1-nfase6" w:type="table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mentoMdio2" w:type="table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mentoMdio2-nfase1" w:type="table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mentoMdio2-nfase2" w:type="table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mentoMdio2-nfase3" w:type="table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mentoMdio2-nfase4" w:type="table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mentoMdio2-nfase5" w:type="table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mentoMdio2-nfase6" w:type="table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aMdia1" w:type="table">
    <w:name w:val="Medium List 1"/>
    <w:basedOn w:val="Tabe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aMdia1-nfase1" w:type="table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aMdia1-nfase2" w:type="table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aMdia1-nfase3" w:type="table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aMdia1-nfase4" w:type="table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aMdia1-nfase5" w:type="table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aMdia1-nfase6" w:type="table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aMdia2" w:type="table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dia2-nfase1" w:type="table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dia2-nfase2" w:type="table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dia2-nfase3" w:type="table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dia2-nfase4" w:type="table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dia2-nfase5" w:type="table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dia2-nfase6" w:type="table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GradeMdia1" w:type="table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adeMdia1-nfase1" w:type="table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adeMdia1-nfase2" w:type="table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adeMdia1-nfase3" w:type="table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adeMdia1-nfase4" w:type="table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adeMdia1-nfase5" w:type="table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adeMdia1-nfase6" w:type="table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GradeMdia2" w:type="table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adeMdia2-nfase1" w:type="table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adeMdia2-nfase2" w:type="table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adeMdia2-nfase3" w:type="table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adeMdia2-nfase4" w:type="table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adeMdia2-nfase5" w:type="table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adeMdia2-nfase6" w:type="table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adeMdia3" w:type="table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GradeMdia3-nfase1" w:type="table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GradeMdia3-nfase2" w:type="table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GradeMdia3-nfase3" w:type="table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GradeMdia3-nfase4" w:type="table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GradeMdia3-nfase5" w:type="table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GradeMdia3-nfase6" w:type="table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aEscura" w:type="table">
    <w:name w:val="Dark List"/>
    <w:basedOn w:val="Tabe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aEscura-nfase1" w:type="table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aEscura-nfase2" w:type="table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aEscura-nfase3" w:type="table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aEscura-nfase4" w:type="table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aEscura-nfase5" w:type="table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aEscura-nfase6" w:type="table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SombreamentoColorido" w:type="table">
    <w:name w:val="Colorful Shading"/>
    <w:basedOn w:val="Tabe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mentoEscuro-nfase1" w:type="table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mentoColorido-nfase2" w:type="table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mentoColorido-nfase3" w:type="table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SombreamentoColorido-nfase4" w:type="table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mentoColorido-nfase5" w:type="table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mentoColorido-nfase6" w:type="table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aColorida" w:type="table">
    <w:name w:val="Colorful List"/>
    <w:basedOn w:val="Tabe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aColorida-nfase1" w:type="table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aColorida-nfase2" w:type="table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aColorida-nfase3" w:type="table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aColorida-nfase4" w:type="table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aColorida-nfase5" w:type="table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aColorida-nfase6" w:type="table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GradeColorida" w:type="table">
    <w:name w:val="Colorful Grid"/>
    <w:basedOn w:val="Tabe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adeColorida-nfase1" w:type="table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adeColorida-nfase2" w:type="table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adeColorida-nfase3" w:type="table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adeColorida-nfase4" w:type="table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adeColorida-nfase5" w:type="table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adeColorida-nfase6" w:type="table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1235</Words>
  <Characters>6669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Integradora — Aulas 1 e 2 — Versão Estudante</vt:lpstr>
      <vt:lpstr/>
    </vt:vector>
  </TitlesOfParts>
  <Manager/>
  <Company/>
  <LinksUpToDate>false</LinksUpToDate>
  <CharactersWithSpaces>7889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6 — Processos que se comunicam</dc:title>
  <dc:language>pt-BR</dc:language>
  <cp:keywords/>
</cp:coreProperties>
</file>