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30.xml" ContentType="application/vnd.openxmlformats-officedocument.drawingml.chart+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AED" w:rsidRDefault="00B029CA" w:rsidP="006E725D">
      <w:pPr>
        <w:pStyle w:val="CoverTitle"/>
        <w:spacing w:after="0" w:line="240" w:lineRule="auto"/>
        <w:ind w:left="-1440"/>
      </w:pPr>
      <w:bookmarkStart w:id="0" w:name="_Toc136167705"/>
      <w:bookmarkStart w:id="1" w:name="_Toc136748576"/>
      <w:r>
        <w:rPr>
          <w:noProof/>
        </w:rPr>
        <w:drawing>
          <wp:anchor distT="0" distB="0" distL="114300" distR="114300" simplePos="0" relativeHeight="251687424" behindDoc="0" locked="0" layoutInCell="1" allowOverlap="1" wp14:anchorId="534BB3DC" wp14:editId="1A3FD9D0">
            <wp:simplePos x="0" y="0"/>
            <wp:positionH relativeFrom="column">
              <wp:posOffset>-3657600</wp:posOffset>
            </wp:positionH>
            <wp:positionV relativeFrom="paragraph">
              <wp:posOffset>2321560</wp:posOffset>
            </wp:positionV>
            <wp:extent cx="7778750" cy="51860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zania - gir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78750" cy="5186045"/>
                    </a:xfrm>
                    <a:prstGeom prst="rect">
                      <a:avLst/>
                    </a:prstGeom>
                  </pic:spPr>
                </pic:pic>
              </a:graphicData>
            </a:graphic>
            <wp14:sizeRelH relativeFrom="page">
              <wp14:pctWidth>0</wp14:pctWidth>
            </wp14:sizeRelH>
            <wp14:sizeRelV relativeFrom="page">
              <wp14:pctHeight>0</wp14:pctHeight>
            </wp14:sizeRelV>
          </wp:anchor>
        </w:drawing>
      </w:r>
      <w:r w:rsidR="006B6E05" w:rsidRPr="006B6E05">
        <w:rPr>
          <w:noProof/>
        </w:rPr>
        <w:t>Community Savings Groups</w:t>
      </w:r>
      <w:r w:rsidR="00F10FEF">
        <w:rPr>
          <w:noProof/>
        </w:rPr>
        <w:t>:</w:t>
      </w:r>
      <w:r w:rsidR="006B6E05" w:rsidRPr="006B6E05">
        <w:rPr>
          <w:noProof/>
        </w:rPr>
        <w:t xml:space="preserve"> Evidence of Contributions to Poverty Reduction Among MVC Households in Tanzania</w:t>
      </w:r>
    </w:p>
    <w:p w:rsidR="002E353D" w:rsidRPr="00FA5B24" w:rsidRDefault="002E353D" w:rsidP="002E353D">
      <w:pPr>
        <w:pStyle w:val="CoverText1"/>
        <w:sectPr w:rsidR="002E353D" w:rsidRPr="00FA5B24" w:rsidSect="00521E33">
          <w:footerReference w:type="even" r:id="rId10"/>
          <w:footerReference w:type="default" r:id="rId11"/>
          <w:pgSz w:w="12240" w:h="15840" w:code="1"/>
          <w:pgMar w:top="1440" w:right="2160" w:bottom="2880" w:left="5760" w:header="720" w:footer="1080" w:gutter="0"/>
          <w:cols w:space="720"/>
        </w:sectPr>
      </w:pPr>
    </w:p>
    <w:p w:rsidR="0050775D" w:rsidRDefault="00593DCC" w:rsidP="0050775D">
      <w:pPr>
        <w:pStyle w:val="Cover--Inside--Heading1"/>
      </w:pPr>
      <w:r w:rsidRPr="00593DCC">
        <w:lastRenderedPageBreak/>
        <w:t>Community Savings Groups</w:t>
      </w:r>
      <w:r w:rsidR="00F10FEF">
        <w:t>:</w:t>
      </w:r>
      <w:r w:rsidRPr="00593DCC">
        <w:t xml:space="preserve"> Evidence of Contributions to Poverty Reduction </w:t>
      </w:r>
      <w:proofErr w:type="gramStart"/>
      <w:r w:rsidRPr="00593DCC">
        <w:t>Among</w:t>
      </w:r>
      <w:proofErr w:type="gramEnd"/>
      <w:r w:rsidRPr="00593DCC">
        <w:t xml:space="preserve"> MVC Households in Tanzania</w:t>
      </w:r>
    </w:p>
    <w:p w:rsidR="0050775D" w:rsidRDefault="00C80844" w:rsidP="0050775D">
      <w:pPr>
        <w:pStyle w:val="Cover--Inside--Heading2"/>
      </w:pPr>
      <w:r>
        <w:t xml:space="preserve">Track: </w:t>
      </w:r>
      <w:r w:rsidR="00593DCC" w:rsidRPr="00593DCC">
        <w:t>Types or combination of design issues within social protection systems that have proven to be most effective in sustainably reducing poverty</w:t>
      </w:r>
    </w:p>
    <w:p w:rsidR="0050775D" w:rsidRDefault="0050775D" w:rsidP="0050775D"/>
    <w:p w:rsidR="00A03187" w:rsidRDefault="00A03187" w:rsidP="0050775D"/>
    <w:p w:rsidR="00A03187" w:rsidRDefault="00A03187" w:rsidP="0050775D"/>
    <w:p w:rsidR="0050775D" w:rsidRDefault="0050775D" w:rsidP="0050775D"/>
    <w:p w:rsidR="0013509F" w:rsidRPr="00A55B5E" w:rsidRDefault="00467B88" w:rsidP="00A55B5E">
      <w:pPr>
        <w:rPr>
          <w:rFonts w:ascii="HelveticaNeueLT Std" w:hAnsi="HelveticaNeueLT Std"/>
          <w:b/>
          <w:sz w:val="24"/>
          <w:szCs w:val="24"/>
        </w:rPr>
      </w:pPr>
      <w:bookmarkStart w:id="2" w:name="_Toc404159076"/>
      <w:bookmarkStart w:id="3" w:name="_Toc404160167"/>
      <w:bookmarkStart w:id="4" w:name="_Toc404171636"/>
      <w:r w:rsidRPr="00A55B5E">
        <w:rPr>
          <w:rFonts w:ascii="HelveticaNeueLT Std" w:hAnsi="HelveticaNeueLT Std"/>
          <w:b/>
          <w:color w:val="2B5A85"/>
          <w:sz w:val="24"/>
          <w:szCs w:val="24"/>
        </w:rPr>
        <w:t>AUTHORS</w:t>
      </w:r>
      <w:bookmarkEnd w:id="2"/>
      <w:bookmarkEnd w:id="3"/>
      <w:bookmarkEnd w:id="4"/>
    </w:p>
    <w:tbl>
      <w:tblPr>
        <w:tblStyle w:val="TableGrid"/>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2943"/>
        <w:gridCol w:w="3021"/>
        <w:gridCol w:w="2906"/>
      </w:tblGrid>
      <w:tr w:rsidR="00A76803" w:rsidTr="00A76803">
        <w:trPr>
          <w:cnfStyle w:val="100000000000" w:firstRow="1" w:lastRow="0" w:firstColumn="0" w:lastColumn="0" w:oddVBand="0" w:evenVBand="0" w:oddHBand="0" w:evenHBand="0" w:firstRowFirstColumn="0" w:firstRowLastColumn="0" w:lastRowFirstColumn="0" w:lastRowLastColumn="0"/>
        </w:trPr>
        <w:tc>
          <w:tcPr>
            <w:tcW w:w="3192" w:type="dxa"/>
            <w:vMerge w:val="restart"/>
            <w:tcBorders>
              <w:top w:val="none" w:sz="0" w:space="0" w:color="auto"/>
              <w:left w:val="none" w:sz="0" w:space="0" w:color="auto"/>
              <w:bottom w:val="none" w:sz="0" w:space="0" w:color="auto"/>
              <w:right w:val="none" w:sz="0" w:space="0" w:color="auto"/>
              <w:tl2br w:val="none" w:sz="0" w:space="0" w:color="auto"/>
              <w:tr2bl w:val="none" w:sz="0" w:space="0" w:color="auto"/>
            </w:tcBorders>
          </w:tcPr>
          <w:p w:rsidR="00A76803" w:rsidRPr="00A76803" w:rsidRDefault="00A76803" w:rsidP="00A76803">
            <w:pPr>
              <w:pStyle w:val="TableText"/>
              <w:rPr>
                <w:b w:val="0"/>
                <w:sz w:val="20"/>
                <w:szCs w:val="20"/>
              </w:rPr>
            </w:pPr>
            <w:r w:rsidRPr="00A76803">
              <w:rPr>
                <w:b w:val="0"/>
                <w:sz w:val="20"/>
                <w:szCs w:val="20"/>
              </w:rPr>
              <w:t>Colleen Green</w:t>
            </w:r>
            <w:r w:rsidR="009F31EC">
              <w:rPr>
                <w:b w:val="0"/>
                <w:sz w:val="20"/>
                <w:szCs w:val="20"/>
              </w:rPr>
              <w:br/>
            </w:r>
            <w:r w:rsidRPr="00A76803">
              <w:rPr>
                <w:b w:val="0"/>
                <w:sz w:val="20"/>
                <w:szCs w:val="20"/>
              </w:rPr>
              <w:t xml:space="preserve">(Corresponding </w:t>
            </w:r>
            <w:r w:rsidR="006F19BF">
              <w:rPr>
                <w:b w:val="0"/>
                <w:sz w:val="20"/>
                <w:szCs w:val="20"/>
              </w:rPr>
              <w:t xml:space="preserve">and Lead </w:t>
            </w:r>
            <w:r w:rsidRPr="00A76803">
              <w:rPr>
                <w:b w:val="0"/>
                <w:sz w:val="20"/>
                <w:szCs w:val="20"/>
              </w:rPr>
              <w:t xml:space="preserve">Author) </w:t>
            </w:r>
          </w:p>
          <w:p w:rsidR="00A76803" w:rsidRPr="00A76803" w:rsidRDefault="00A76803" w:rsidP="00A76803">
            <w:pPr>
              <w:pStyle w:val="TableText"/>
              <w:rPr>
                <w:b w:val="0"/>
                <w:sz w:val="20"/>
                <w:szCs w:val="20"/>
              </w:rPr>
            </w:pPr>
            <w:r w:rsidRPr="00A76803">
              <w:rPr>
                <w:b w:val="0"/>
                <w:sz w:val="20"/>
                <w:szCs w:val="20"/>
              </w:rPr>
              <w:t xml:space="preserve">DAI </w:t>
            </w:r>
            <w:r w:rsidR="009F31EC">
              <w:rPr>
                <w:b w:val="0"/>
                <w:sz w:val="20"/>
                <w:szCs w:val="20"/>
              </w:rPr>
              <w:t>–</w:t>
            </w:r>
            <w:r w:rsidRPr="00A76803">
              <w:rPr>
                <w:b w:val="0"/>
                <w:sz w:val="20"/>
                <w:szCs w:val="20"/>
              </w:rPr>
              <w:t xml:space="preserve"> IMARISHA </w:t>
            </w:r>
          </w:p>
          <w:p w:rsidR="00A76803" w:rsidRPr="00A76803" w:rsidRDefault="00A76803" w:rsidP="00A76803">
            <w:pPr>
              <w:pStyle w:val="TableText"/>
              <w:rPr>
                <w:b w:val="0"/>
                <w:sz w:val="20"/>
                <w:szCs w:val="20"/>
              </w:rPr>
            </w:pPr>
            <w:r w:rsidRPr="00A76803">
              <w:rPr>
                <w:b w:val="0"/>
                <w:sz w:val="20"/>
                <w:szCs w:val="20"/>
              </w:rPr>
              <w:t>P</w:t>
            </w:r>
            <w:r w:rsidR="009F31EC">
              <w:rPr>
                <w:b w:val="0"/>
                <w:sz w:val="20"/>
                <w:szCs w:val="20"/>
              </w:rPr>
              <w:t>.</w:t>
            </w:r>
            <w:r w:rsidRPr="00A76803">
              <w:rPr>
                <w:b w:val="0"/>
                <w:sz w:val="20"/>
                <w:szCs w:val="20"/>
              </w:rPr>
              <w:t>O</w:t>
            </w:r>
            <w:r w:rsidR="009F31EC">
              <w:rPr>
                <w:b w:val="0"/>
                <w:sz w:val="20"/>
                <w:szCs w:val="20"/>
              </w:rPr>
              <w:t>.</w:t>
            </w:r>
            <w:r w:rsidRPr="00A76803">
              <w:rPr>
                <w:b w:val="0"/>
                <w:sz w:val="20"/>
                <w:szCs w:val="20"/>
              </w:rPr>
              <w:t xml:space="preserve"> Box 60652</w:t>
            </w:r>
          </w:p>
          <w:p w:rsidR="00A76803" w:rsidRPr="00A76803" w:rsidRDefault="00A76803" w:rsidP="00A76803">
            <w:pPr>
              <w:pStyle w:val="TableText"/>
              <w:rPr>
                <w:b w:val="0"/>
                <w:sz w:val="20"/>
                <w:szCs w:val="20"/>
              </w:rPr>
            </w:pPr>
            <w:r w:rsidRPr="00A76803">
              <w:rPr>
                <w:b w:val="0"/>
                <w:sz w:val="20"/>
                <w:szCs w:val="20"/>
              </w:rPr>
              <w:t xml:space="preserve">Dar </w:t>
            </w:r>
            <w:proofErr w:type="spellStart"/>
            <w:r w:rsidRPr="00A76803">
              <w:rPr>
                <w:b w:val="0"/>
                <w:sz w:val="20"/>
                <w:szCs w:val="20"/>
              </w:rPr>
              <w:t>es</w:t>
            </w:r>
            <w:proofErr w:type="spellEnd"/>
            <w:r w:rsidRPr="00A76803">
              <w:rPr>
                <w:b w:val="0"/>
                <w:sz w:val="20"/>
                <w:szCs w:val="20"/>
              </w:rPr>
              <w:t xml:space="preserve"> Salaam</w:t>
            </w:r>
            <w:r w:rsidR="00977188">
              <w:rPr>
                <w:b w:val="0"/>
                <w:sz w:val="20"/>
                <w:szCs w:val="20"/>
              </w:rPr>
              <w:t xml:space="preserve">, </w:t>
            </w:r>
            <w:r w:rsidRPr="00A76803">
              <w:rPr>
                <w:b w:val="0"/>
                <w:sz w:val="20"/>
                <w:szCs w:val="20"/>
              </w:rPr>
              <w:t>Tanzania</w:t>
            </w:r>
          </w:p>
          <w:p w:rsidR="00A76803" w:rsidRPr="00A76803" w:rsidRDefault="00A76803" w:rsidP="00A76803">
            <w:pPr>
              <w:pStyle w:val="TableText"/>
              <w:rPr>
                <w:b w:val="0"/>
                <w:sz w:val="20"/>
                <w:szCs w:val="20"/>
              </w:rPr>
            </w:pPr>
            <w:r w:rsidRPr="00A76803">
              <w:rPr>
                <w:b w:val="0"/>
                <w:sz w:val="20"/>
                <w:szCs w:val="20"/>
              </w:rPr>
              <w:t>+255-782-987-062</w:t>
            </w:r>
          </w:p>
          <w:p w:rsidR="00A76803" w:rsidRPr="00A76803" w:rsidRDefault="00A76803" w:rsidP="00453103">
            <w:pPr>
              <w:pStyle w:val="TableText"/>
              <w:rPr>
                <w:b w:val="0"/>
                <w:sz w:val="20"/>
                <w:szCs w:val="20"/>
              </w:rPr>
            </w:pPr>
            <w:r w:rsidRPr="00A76803">
              <w:rPr>
                <w:b w:val="0"/>
                <w:sz w:val="20"/>
                <w:szCs w:val="20"/>
              </w:rPr>
              <w:t>colleen_green@dai.com</w:t>
            </w:r>
          </w:p>
          <w:p w:rsidR="006F19BF" w:rsidRDefault="006F19BF" w:rsidP="006F19BF">
            <w:pPr>
              <w:pStyle w:val="TableText"/>
              <w:rPr>
                <w:b w:val="0"/>
                <w:sz w:val="20"/>
                <w:szCs w:val="20"/>
              </w:rPr>
            </w:pPr>
          </w:p>
          <w:p w:rsidR="006F19BF" w:rsidRPr="00A76803" w:rsidRDefault="006F19BF" w:rsidP="006F19BF">
            <w:pPr>
              <w:pStyle w:val="TableText"/>
              <w:rPr>
                <w:b w:val="0"/>
                <w:sz w:val="20"/>
                <w:szCs w:val="20"/>
              </w:rPr>
            </w:pPr>
            <w:r>
              <w:rPr>
                <w:b w:val="0"/>
                <w:sz w:val="20"/>
                <w:szCs w:val="20"/>
              </w:rPr>
              <w:t xml:space="preserve">Kirsten Weeks </w:t>
            </w:r>
          </w:p>
          <w:p w:rsidR="006F19BF" w:rsidRPr="00A76803" w:rsidRDefault="006F19BF" w:rsidP="006F19BF">
            <w:pPr>
              <w:pStyle w:val="TableText"/>
              <w:rPr>
                <w:b w:val="0"/>
                <w:sz w:val="20"/>
                <w:szCs w:val="20"/>
              </w:rPr>
            </w:pPr>
            <w:r w:rsidRPr="00A76803">
              <w:rPr>
                <w:b w:val="0"/>
                <w:sz w:val="20"/>
                <w:szCs w:val="20"/>
              </w:rPr>
              <w:t xml:space="preserve">DAI </w:t>
            </w:r>
          </w:p>
          <w:p w:rsidR="006F19BF" w:rsidRPr="00A76803" w:rsidRDefault="006F19BF" w:rsidP="006F19BF">
            <w:pPr>
              <w:pStyle w:val="TableText"/>
              <w:rPr>
                <w:b w:val="0"/>
                <w:sz w:val="20"/>
                <w:szCs w:val="20"/>
              </w:rPr>
            </w:pPr>
            <w:r w:rsidRPr="00A76803">
              <w:rPr>
                <w:b w:val="0"/>
                <w:sz w:val="20"/>
                <w:szCs w:val="20"/>
              </w:rPr>
              <w:t>7600 Wisconsin Avenue</w:t>
            </w:r>
          </w:p>
          <w:p w:rsidR="006F19BF" w:rsidRPr="00A76803" w:rsidRDefault="006F19BF" w:rsidP="006F19BF">
            <w:pPr>
              <w:pStyle w:val="TableText"/>
              <w:rPr>
                <w:b w:val="0"/>
                <w:sz w:val="20"/>
                <w:szCs w:val="20"/>
              </w:rPr>
            </w:pPr>
            <w:r w:rsidRPr="00A76803">
              <w:rPr>
                <w:b w:val="0"/>
                <w:sz w:val="20"/>
                <w:szCs w:val="20"/>
              </w:rPr>
              <w:t>Bethesda, MD 20814</w:t>
            </w:r>
            <w:r>
              <w:rPr>
                <w:b w:val="0"/>
                <w:sz w:val="20"/>
                <w:szCs w:val="20"/>
              </w:rPr>
              <w:t xml:space="preserve"> USA</w:t>
            </w:r>
          </w:p>
          <w:p w:rsidR="006F19BF" w:rsidRPr="00A76803" w:rsidRDefault="006F19BF" w:rsidP="006F19BF">
            <w:pPr>
              <w:pStyle w:val="TableText"/>
              <w:rPr>
                <w:b w:val="0"/>
                <w:sz w:val="20"/>
                <w:szCs w:val="20"/>
              </w:rPr>
            </w:pPr>
            <w:r w:rsidRPr="00A76803">
              <w:rPr>
                <w:b w:val="0"/>
                <w:sz w:val="20"/>
                <w:szCs w:val="20"/>
              </w:rPr>
              <w:t>+1</w:t>
            </w:r>
            <w:r>
              <w:rPr>
                <w:b w:val="0"/>
                <w:sz w:val="20"/>
                <w:szCs w:val="20"/>
              </w:rPr>
              <w:t xml:space="preserve"> </w:t>
            </w:r>
            <w:r w:rsidRPr="00A76803">
              <w:rPr>
                <w:b w:val="0"/>
                <w:sz w:val="20"/>
                <w:szCs w:val="20"/>
              </w:rPr>
              <w:t>301</w:t>
            </w:r>
            <w:r>
              <w:rPr>
                <w:b w:val="0"/>
                <w:sz w:val="20"/>
                <w:szCs w:val="20"/>
              </w:rPr>
              <w:t>-</w:t>
            </w:r>
            <w:r w:rsidRPr="00A76803">
              <w:rPr>
                <w:b w:val="0"/>
                <w:sz w:val="20"/>
                <w:szCs w:val="20"/>
              </w:rPr>
              <w:t>771</w:t>
            </w:r>
            <w:r>
              <w:rPr>
                <w:b w:val="0"/>
                <w:sz w:val="20"/>
                <w:szCs w:val="20"/>
              </w:rPr>
              <w:t>-</w:t>
            </w:r>
            <w:r w:rsidRPr="00A76803">
              <w:rPr>
                <w:b w:val="0"/>
                <w:sz w:val="20"/>
                <w:szCs w:val="20"/>
              </w:rPr>
              <w:t>7285</w:t>
            </w:r>
          </w:p>
          <w:p w:rsidR="006F19BF" w:rsidRPr="00A76803" w:rsidRDefault="006F19BF" w:rsidP="006F19BF">
            <w:pPr>
              <w:pStyle w:val="TableText"/>
              <w:rPr>
                <w:b w:val="0"/>
                <w:sz w:val="20"/>
                <w:szCs w:val="20"/>
              </w:rPr>
            </w:pPr>
            <w:r w:rsidRPr="00A76803">
              <w:rPr>
                <w:b w:val="0"/>
                <w:sz w:val="20"/>
                <w:szCs w:val="20"/>
              </w:rPr>
              <w:t>kirsten_weeks@dai.com</w:t>
            </w:r>
          </w:p>
          <w:p w:rsidR="00A76803" w:rsidRPr="00A76803" w:rsidRDefault="00A76803" w:rsidP="00A14174">
            <w:pPr>
              <w:pStyle w:val="TableText"/>
              <w:rPr>
                <w:b w:val="0"/>
                <w:sz w:val="20"/>
                <w:szCs w:val="20"/>
              </w:rPr>
            </w:pPr>
          </w:p>
        </w:tc>
        <w:tc>
          <w:tcPr>
            <w:tcW w:w="3192" w:type="dxa"/>
            <w:vMerge w:val="restart"/>
            <w:tcBorders>
              <w:top w:val="none" w:sz="0" w:space="0" w:color="auto"/>
              <w:left w:val="none" w:sz="0" w:space="0" w:color="auto"/>
              <w:bottom w:val="none" w:sz="0" w:space="0" w:color="auto"/>
              <w:right w:val="none" w:sz="0" w:space="0" w:color="auto"/>
              <w:tl2br w:val="none" w:sz="0" w:space="0" w:color="auto"/>
              <w:tr2bl w:val="none" w:sz="0" w:space="0" w:color="auto"/>
            </w:tcBorders>
          </w:tcPr>
          <w:p w:rsidR="00A76803" w:rsidRPr="00A76803" w:rsidRDefault="00A76803" w:rsidP="00A76803">
            <w:pPr>
              <w:pStyle w:val="TableText"/>
              <w:rPr>
                <w:b w:val="0"/>
                <w:sz w:val="20"/>
                <w:szCs w:val="20"/>
              </w:rPr>
            </w:pPr>
            <w:r w:rsidRPr="00A76803">
              <w:rPr>
                <w:b w:val="0"/>
                <w:sz w:val="20"/>
                <w:szCs w:val="20"/>
              </w:rPr>
              <w:t xml:space="preserve">Daniel </w:t>
            </w:r>
            <w:proofErr w:type="spellStart"/>
            <w:r w:rsidRPr="00A76803">
              <w:rPr>
                <w:b w:val="0"/>
                <w:sz w:val="20"/>
                <w:szCs w:val="20"/>
              </w:rPr>
              <w:t>Laizer</w:t>
            </w:r>
            <w:proofErr w:type="spellEnd"/>
          </w:p>
          <w:p w:rsidR="00A76803" w:rsidRPr="00A76803" w:rsidRDefault="00A76803" w:rsidP="00A76803">
            <w:pPr>
              <w:pStyle w:val="TableText"/>
              <w:rPr>
                <w:b w:val="0"/>
                <w:sz w:val="20"/>
                <w:szCs w:val="20"/>
              </w:rPr>
            </w:pPr>
            <w:r w:rsidRPr="00A76803">
              <w:rPr>
                <w:b w:val="0"/>
                <w:sz w:val="20"/>
                <w:szCs w:val="20"/>
              </w:rPr>
              <w:t>DAI – IMARISHA</w:t>
            </w:r>
          </w:p>
          <w:p w:rsidR="00A76803" w:rsidRPr="00A76803" w:rsidRDefault="00A76803" w:rsidP="00A76803">
            <w:pPr>
              <w:pStyle w:val="TableText"/>
              <w:rPr>
                <w:b w:val="0"/>
                <w:sz w:val="20"/>
                <w:szCs w:val="20"/>
              </w:rPr>
            </w:pPr>
            <w:r w:rsidRPr="00A76803">
              <w:rPr>
                <w:b w:val="0"/>
                <w:sz w:val="20"/>
                <w:szCs w:val="20"/>
              </w:rPr>
              <w:t>P.O. Box 60652</w:t>
            </w:r>
          </w:p>
          <w:p w:rsidR="00A76803" w:rsidRPr="00A76803" w:rsidRDefault="00A76803" w:rsidP="00A76803">
            <w:pPr>
              <w:pStyle w:val="TableText"/>
              <w:rPr>
                <w:b w:val="0"/>
                <w:sz w:val="20"/>
                <w:szCs w:val="20"/>
              </w:rPr>
            </w:pPr>
            <w:r w:rsidRPr="00A76803">
              <w:rPr>
                <w:b w:val="0"/>
                <w:sz w:val="20"/>
                <w:szCs w:val="20"/>
              </w:rPr>
              <w:t xml:space="preserve">Dar </w:t>
            </w:r>
            <w:proofErr w:type="spellStart"/>
            <w:r w:rsidRPr="00A76803">
              <w:rPr>
                <w:b w:val="0"/>
                <w:sz w:val="20"/>
                <w:szCs w:val="20"/>
              </w:rPr>
              <w:t>es</w:t>
            </w:r>
            <w:proofErr w:type="spellEnd"/>
            <w:r w:rsidRPr="00A76803">
              <w:rPr>
                <w:b w:val="0"/>
                <w:sz w:val="20"/>
                <w:szCs w:val="20"/>
              </w:rPr>
              <w:t xml:space="preserve"> Salaam, Tanzania</w:t>
            </w:r>
          </w:p>
          <w:p w:rsidR="00A76803" w:rsidRDefault="00A76803" w:rsidP="00A76803">
            <w:pPr>
              <w:pStyle w:val="TableText"/>
              <w:rPr>
                <w:b w:val="0"/>
                <w:sz w:val="20"/>
                <w:szCs w:val="20"/>
              </w:rPr>
            </w:pPr>
            <w:r w:rsidRPr="00A76803">
              <w:rPr>
                <w:b w:val="0"/>
                <w:sz w:val="20"/>
                <w:szCs w:val="20"/>
              </w:rPr>
              <w:t>+255-718-876-454</w:t>
            </w:r>
          </w:p>
          <w:p w:rsidR="00C80844" w:rsidRPr="00A76803" w:rsidRDefault="00C80844" w:rsidP="00A76803">
            <w:pPr>
              <w:pStyle w:val="TableText"/>
              <w:rPr>
                <w:b w:val="0"/>
                <w:sz w:val="20"/>
                <w:szCs w:val="20"/>
              </w:rPr>
            </w:pPr>
            <w:r>
              <w:rPr>
                <w:b w:val="0"/>
                <w:sz w:val="20"/>
                <w:szCs w:val="20"/>
              </w:rPr>
              <w:t>Daniel_Laizer@dai.com</w:t>
            </w:r>
          </w:p>
          <w:p w:rsidR="00A76803" w:rsidRPr="00A76803" w:rsidRDefault="00A76803" w:rsidP="00A76803">
            <w:pPr>
              <w:pStyle w:val="TableText"/>
              <w:rPr>
                <w:b w:val="0"/>
                <w:sz w:val="20"/>
                <w:szCs w:val="20"/>
              </w:rPr>
            </w:pPr>
          </w:p>
          <w:p w:rsidR="00A76803" w:rsidRPr="00A76803" w:rsidRDefault="00A76803" w:rsidP="00453103">
            <w:pPr>
              <w:pStyle w:val="TableText"/>
              <w:rPr>
                <w:b w:val="0"/>
                <w:sz w:val="20"/>
                <w:szCs w:val="20"/>
              </w:rPr>
            </w:pPr>
            <w:r w:rsidRPr="00A76803">
              <w:rPr>
                <w:b w:val="0"/>
                <w:sz w:val="20"/>
                <w:szCs w:val="20"/>
              </w:rPr>
              <w:t xml:space="preserve">Khalid </w:t>
            </w:r>
            <w:proofErr w:type="spellStart"/>
            <w:r w:rsidRPr="00A76803">
              <w:rPr>
                <w:b w:val="0"/>
                <w:sz w:val="20"/>
                <w:szCs w:val="20"/>
              </w:rPr>
              <w:t>Mgaramo</w:t>
            </w:r>
            <w:proofErr w:type="spellEnd"/>
            <w:r w:rsidRPr="00A76803">
              <w:rPr>
                <w:b w:val="0"/>
                <w:sz w:val="20"/>
                <w:szCs w:val="20"/>
              </w:rPr>
              <w:t xml:space="preserve"> </w:t>
            </w:r>
          </w:p>
          <w:p w:rsidR="00A76803" w:rsidRPr="00A76803" w:rsidRDefault="00A76803" w:rsidP="00453103">
            <w:pPr>
              <w:pStyle w:val="TableText"/>
              <w:rPr>
                <w:b w:val="0"/>
                <w:sz w:val="20"/>
                <w:szCs w:val="20"/>
              </w:rPr>
            </w:pPr>
            <w:r w:rsidRPr="00A76803">
              <w:rPr>
                <w:b w:val="0"/>
                <w:sz w:val="20"/>
                <w:szCs w:val="20"/>
              </w:rPr>
              <w:t>DAI – IMARISHA</w:t>
            </w:r>
          </w:p>
          <w:p w:rsidR="00A76803" w:rsidRPr="00A76803" w:rsidRDefault="00A76803" w:rsidP="00453103">
            <w:pPr>
              <w:pStyle w:val="TableText"/>
              <w:rPr>
                <w:b w:val="0"/>
                <w:sz w:val="20"/>
                <w:szCs w:val="20"/>
              </w:rPr>
            </w:pPr>
            <w:r w:rsidRPr="00A76803">
              <w:rPr>
                <w:b w:val="0"/>
                <w:sz w:val="20"/>
                <w:szCs w:val="20"/>
              </w:rPr>
              <w:t>P</w:t>
            </w:r>
            <w:r w:rsidR="009F31EC">
              <w:rPr>
                <w:b w:val="0"/>
                <w:sz w:val="20"/>
                <w:szCs w:val="20"/>
              </w:rPr>
              <w:t>.</w:t>
            </w:r>
            <w:r w:rsidRPr="00A76803">
              <w:rPr>
                <w:b w:val="0"/>
                <w:sz w:val="20"/>
                <w:szCs w:val="20"/>
              </w:rPr>
              <w:t>O</w:t>
            </w:r>
            <w:r w:rsidR="009F31EC">
              <w:rPr>
                <w:b w:val="0"/>
                <w:sz w:val="20"/>
                <w:szCs w:val="20"/>
              </w:rPr>
              <w:t>.</w:t>
            </w:r>
            <w:r w:rsidRPr="00A76803">
              <w:rPr>
                <w:b w:val="0"/>
                <w:sz w:val="20"/>
                <w:szCs w:val="20"/>
              </w:rPr>
              <w:t xml:space="preserve"> Box 60652</w:t>
            </w:r>
          </w:p>
          <w:p w:rsidR="00A76803" w:rsidRPr="00A76803" w:rsidRDefault="00A76803" w:rsidP="00453103">
            <w:pPr>
              <w:pStyle w:val="TableText"/>
              <w:rPr>
                <w:b w:val="0"/>
                <w:sz w:val="20"/>
                <w:szCs w:val="20"/>
              </w:rPr>
            </w:pPr>
            <w:r w:rsidRPr="00A76803">
              <w:rPr>
                <w:b w:val="0"/>
                <w:sz w:val="20"/>
                <w:szCs w:val="20"/>
              </w:rPr>
              <w:t xml:space="preserve">Dar </w:t>
            </w:r>
            <w:proofErr w:type="spellStart"/>
            <w:r w:rsidRPr="00A76803">
              <w:rPr>
                <w:b w:val="0"/>
                <w:sz w:val="20"/>
                <w:szCs w:val="20"/>
              </w:rPr>
              <w:t>es</w:t>
            </w:r>
            <w:proofErr w:type="spellEnd"/>
            <w:r w:rsidRPr="00A76803">
              <w:rPr>
                <w:b w:val="0"/>
                <w:sz w:val="20"/>
                <w:szCs w:val="20"/>
              </w:rPr>
              <w:t xml:space="preserve"> Salaam, Tanzania</w:t>
            </w:r>
          </w:p>
          <w:p w:rsidR="007B7E4E" w:rsidRDefault="007B7E4E" w:rsidP="00453103">
            <w:pPr>
              <w:pStyle w:val="TableText"/>
              <w:rPr>
                <w:b w:val="0"/>
                <w:sz w:val="20"/>
                <w:szCs w:val="20"/>
              </w:rPr>
            </w:pPr>
            <w:r>
              <w:rPr>
                <w:b w:val="0"/>
                <w:sz w:val="20"/>
                <w:szCs w:val="20"/>
              </w:rPr>
              <w:t>+255-784-459-694</w:t>
            </w:r>
          </w:p>
          <w:p w:rsidR="00C80844" w:rsidRPr="00A76803" w:rsidRDefault="00C80844" w:rsidP="00453103">
            <w:pPr>
              <w:pStyle w:val="TableText"/>
              <w:rPr>
                <w:b w:val="0"/>
                <w:sz w:val="20"/>
                <w:szCs w:val="20"/>
              </w:rPr>
            </w:pPr>
            <w:r>
              <w:rPr>
                <w:b w:val="0"/>
                <w:sz w:val="20"/>
                <w:szCs w:val="20"/>
              </w:rPr>
              <w:t>Khalid_Mgaramo@dai.com</w:t>
            </w:r>
            <w:bookmarkStart w:id="5" w:name="_GoBack"/>
            <w:bookmarkEnd w:id="5"/>
          </w:p>
          <w:p w:rsidR="00A76803" w:rsidRPr="00A76803" w:rsidRDefault="00A76803" w:rsidP="00453103">
            <w:pPr>
              <w:pStyle w:val="TableText"/>
              <w:rPr>
                <w:b w:val="0"/>
                <w:sz w:val="20"/>
                <w:szCs w:val="20"/>
              </w:rPr>
            </w:pPr>
          </w:p>
        </w:tc>
        <w:tc>
          <w:tcPr>
            <w:tcW w:w="319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A76803" w:rsidRPr="00A76803" w:rsidRDefault="00A76803" w:rsidP="00A76803">
            <w:pPr>
              <w:pStyle w:val="TableText"/>
              <w:rPr>
                <w:b w:val="0"/>
                <w:sz w:val="20"/>
                <w:szCs w:val="20"/>
              </w:rPr>
            </w:pPr>
            <w:r w:rsidRPr="00A76803">
              <w:rPr>
                <w:b w:val="0"/>
                <w:sz w:val="20"/>
                <w:szCs w:val="20"/>
              </w:rPr>
              <w:t xml:space="preserve">Katie </w:t>
            </w:r>
            <w:proofErr w:type="spellStart"/>
            <w:r w:rsidRPr="00A76803">
              <w:rPr>
                <w:b w:val="0"/>
                <w:sz w:val="20"/>
                <w:szCs w:val="20"/>
              </w:rPr>
              <w:t>Taratus</w:t>
            </w:r>
            <w:proofErr w:type="spellEnd"/>
          </w:p>
          <w:p w:rsidR="00A76803" w:rsidRPr="00A76803" w:rsidRDefault="00A76803" w:rsidP="00A76803">
            <w:pPr>
              <w:pStyle w:val="TableText"/>
              <w:rPr>
                <w:b w:val="0"/>
                <w:sz w:val="20"/>
                <w:szCs w:val="20"/>
              </w:rPr>
            </w:pPr>
            <w:r w:rsidRPr="00A76803">
              <w:rPr>
                <w:b w:val="0"/>
                <w:sz w:val="20"/>
                <w:szCs w:val="20"/>
              </w:rPr>
              <w:t>DAI</w:t>
            </w:r>
          </w:p>
          <w:p w:rsidR="00A76803" w:rsidRPr="00A76803" w:rsidRDefault="00A76803" w:rsidP="00A76803">
            <w:pPr>
              <w:pStyle w:val="TableText"/>
              <w:rPr>
                <w:b w:val="0"/>
                <w:sz w:val="20"/>
                <w:szCs w:val="20"/>
              </w:rPr>
            </w:pPr>
            <w:r w:rsidRPr="00A76803">
              <w:rPr>
                <w:b w:val="0"/>
                <w:sz w:val="20"/>
                <w:szCs w:val="20"/>
              </w:rPr>
              <w:t>7600 Wisconsin Avenue</w:t>
            </w:r>
          </w:p>
          <w:p w:rsidR="00A76803" w:rsidRPr="00A76803" w:rsidRDefault="00A76803" w:rsidP="00A76803">
            <w:pPr>
              <w:pStyle w:val="TableText"/>
              <w:rPr>
                <w:b w:val="0"/>
                <w:sz w:val="20"/>
                <w:szCs w:val="20"/>
              </w:rPr>
            </w:pPr>
            <w:r w:rsidRPr="00A76803">
              <w:rPr>
                <w:b w:val="0"/>
                <w:sz w:val="20"/>
                <w:szCs w:val="20"/>
              </w:rPr>
              <w:t>Bethesda, MD 20814 USA</w:t>
            </w:r>
          </w:p>
          <w:p w:rsidR="00A76803" w:rsidRPr="00A76803" w:rsidRDefault="00A76803" w:rsidP="00A76803">
            <w:pPr>
              <w:pStyle w:val="TableText"/>
              <w:rPr>
                <w:b w:val="0"/>
                <w:sz w:val="20"/>
                <w:szCs w:val="20"/>
              </w:rPr>
            </w:pPr>
            <w:r w:rsidRPr="00A76803">
              <w:rPr>
                <w:b w:val="0"/>
                <w:sz w:val="20"/>
                <w:szCs w:val="20"/>
              </w:rPr>
              <w:t>+1</w:t>
            </w:r>
            <w:r w:rsidR="009F31EC">
              <w:rPr>
                <w:b w:val="0"/>
                <w:sz w:val="20"/>
                <w:szCs w:val="20"/>
              </w:rPr>
              <w:t xml:space="preserve"> </w:t>
            </w:r>
            <w:r w:rsidRPr="00A76803">
              <w:rPr>
                <w:b w:val="0"/>
                <w:sz w:val="20"/>
                <w:szCs w:val="20"/>
              </w:rPr>
              <w:t>301-771-7600</w:t>
            </w:r>
          </w:p>
          <w:p w:rsidR="00A76803" w:rsidRPr="00A76803" w:rsidRDefault="00A76803" w:rsidP="00A76803">
            <w:pPr>
              <w:pStyle w:val="TableText"/>
              <w:rPr>
                <w:b w:val="0"/>
                <w:sz w:val="20"/>
                <w:szCs w:val="20"/>
              </w:rPr>
            </w:pPr>
            <w:r w:rsidRPr="00A76803">
              <w:rPr>
                <w:b w:val="0"/>
                <w:sz w:val="20"/>
                <w:szCs w:val="20"/>
              </w:rPr>
              <w:t>katie_taratus@dai.com</w:t>
            </w:r>
          </w:p>
        </w:tc>
      </w:tr>
      <w:tr w:rsidR="00A76803" w:rsidTr="00A76803">
        <w:tc>
          <w:tcPr>
            <w:tcW w:w="3192" w:type="dxa"/>
            <w:vMerge/>
          </w:tcPr>
          <w:p w:rsidR="00A76803" w:rsidRPr="00A76803" w:rsidRDefault="00A76803" w:rsidP="00453103">
            <w:pPr>
              <w:pStyle w:val="TableText"/>
              <w:rPr>
                <w:sz w:val="20"/>
                <w:szCs w:val="20"/>
              </w:rPr>
            </w:pPr>
          </w:p>
        </w:tc>
        <w:tc>
          <w:tcPr>
            <w:tcW w:w="3192" w:type="dxa"/>
            <w:vMerge/>
          </w:tcPr>
          <w:p w:rsidR="00A76803" w:rsidRPr="00A76803" w:rsidRDefault="00A76803" w:rsidP="00453103">
            <w:pPr>
              <w:pStyle w:val="TableText"/>
              <w:rPr>
                <w:sz w:val="20"/>
                <w:szCs w:val="20"/>
              </w:rPr>
            </w:pPr>
          </w:p>
        </w:tc>
        <w:tc>
          <w:tcPr>
            <w:tcW w:w="3192" w:type="dxa"/>
          </w:tcPr>
          <w:p w:rsidR="00A76803" w:rsidRPr="00A76803" w:rsidRDefault="00A76803" w:rsidP="00453103">
            <w:pPr>
              <w:pStyle w:val="TableText"/>
              <w:rPr>
                <w:sz w:val="20"/>
                <w:szCs w:val="20"/>
              </w:rPr>
            </w:pPr>
          </w:p>
        </w:tc>
      </w:tr>
    </w:tbl>
    <w:p w:rsidR="00B33719" w:rsidRDefault="00B33719" w:rsidP="0050775D">
      <w:pPr>
        <w:pStyle w:val="Heading4"/>
        <w:tabs>
          <w:tab w:val="left" w:pos="2880"/>
        </w:tabs>
        <w:rPr>
          <w:i w:val="0"/>
        </w:rPr>
        <w:sectPr w:rsidR="00B33719" w:rsidSect="00521E33">
          <w:headerReference w:type="even" r:id="rId12"/>
          <w:headerReference w:type="default" r:id="rId13"/>
          <w:footerReference w:type="even" r:id="rId14"/>
          <w:footerReference w:type="default" r:id="rId15"/>
          <w:pgSz w:w="12240" w:h="15840" w:code="1"/>
          <w:pgMar w:top="1440" w:right="2160" w:bottom="1440" w:left="1440" w:header="720" w:footer="360" w:gutter="0"/>
          <w:pgNumType w:fmt="lowerRoman" w:start="1"/>
          <w:cols w:space="720"/>
        </w:sectPr>
      </w:pPr>
    </w:p>
    <w:p w:rsidR="00AA5748" w:rsidRDefault="00AA5748" w:rsidP="00134A24">
      <w:pPr>
        <w:pStyle w:val="Contents"/>
      </w:pPr>
      <w:bookmarkStart w:id="6" w:name="_Toc140481343"/>
      <w:bookmarkStart w:id="7" w:name="_Toc140481382"/>
      <w:r>
        <w:lastRenderedPageBreak/>
        <w:t>Contents</w:t>
      </w:r>
      <w:bookmarkEnd w:id="6"/>
      <w:bookmarkEnd w:id="7"/>
    </w:p>
    <w:p w:rsidR="000C448F" w:rsidRDefault="00B8632F">
      <w:pPr>
        <w:pStyle w:val="TOC2"/>
        <w:rPr>
          <w:rFonts w:asciiTheme="minorHAnsi" w:eastAsiaTheme="minorEastAsia" w:hAnsiTheme="minorHAnsi" w:cstheme="minorBidi"/>
          <w:caps w:val="0"/>
          <w:noProof/>
          <w:color w:val="auto"/>
          <w:sz w:val="22"/>
          <w:szCs w:val="22"/>
        </w:rPr>
      </w:pPr>
      <w:r>
        <w:fldChar w:fldCharType="begin"/>
      </w:r>
      <w:r>
        <w:instrText xml:space="preserve"> TOC \o "2-3" \t "Heading 1,1" </w:instrText>
      </w:r>
      <w:r>
        <w:fldChar w:fldCharType="separate"/>
      </w:r>
      <w:r w:rsidR="000C448F">
        <w:rPr>
          <w:noProof/>
        </w:rPr>
        <w:t>Acronyms and Abbreviations</w:t>
      </w:r>
      <w:r w:rsidR="000C448F">
        <w:rPr>
          <w:noProof/>
        </w:rPr>
        <w:tab/>
      </w:r>
      <w:r w:rsidR="000C448F">
        <w:rPr>
          <w:noProof/>
        </w:rPr>
        <w:fldChar w:fldCharType="begin"/>
      </w:r>
      <w:r w:rsidR="000C448F">
        <w:rPr>
          <w:noProof/>
        </w:rPr>
        <w:instrText xml:space="preserve"> PAGEREF _Toc404177145 \h </w:instrText>
      </w:r>
      <w:r w:rsidR="000C448F">
        <w:rPr>
          <w:noProof/>
        </w:rPr>
      </w:r>
      <w:r w:rsidR="000C448F">
        <w:rPr>
          <w:noProof/>
        </w:rPr>
        <w:fldChar w:fldCharType="separate"/>
      </w:r>
      <w:r w:rsidR="000C448F">
        <w:rPr>
          <w:noProof/>
        </w:rPr>
        <w:t>ii</w:t>
      </w:r>
      <w:r w:rsidR="000C448F">
        <w:rPr>
          <w:noProof/>
        </w:rPr>
        <w:fldChar w:fldCharType="end"/>
      </w:r>
    </w:p>
    <w:p w:rsidR="000C448F" w:rsidRDefault="000C448F">
      <w:pPr>
        <w:pStyle w:val="TOC2"/>
        <w:rPr>
          <w:rFonts w:asciiTheme="minorHAnsi" w:eastAsiaTheme="minorEastAsia" w:hAnsiTheme="minorHAnsi" w:cstheme="minorBidi"/>
          <w:caps w:val="0"/>
          <w:noProof/>
          <w:color w:val="auto"/>
          <w:sz w:val="22"/>
          <w:szCs w:val="22"/>
        </w:rPr>
      </w:pPr>
      <w:r>
        <w:rPr>
          <w:noProof/>
        </w:rPr>
        <w:t>Executive Summary</w:t>
      </w:r>
      <w:r>
        <w:rPr>
          <w:noProof/>
        </w:rPr>
        <w:tab/>
      </w:r>
      <w:r>
        <w:rPr>
          <w:noProof/>
        </w:rPr>
        <w:fldChar w:fldCharType="begin"/>
      </w:r>
      <w:r>
        <w:rPr>
          <w:noProof/>
        </w:rPr>
        <w:instrText xml:space="preserve"> PAGEREF _Toc404177146 \h </w:instrText>
      </w:r>
      <w:r>
        <w:rPr>
          <w:noProof/>
        </w:rPr>
      </w:r>
      <w:r>
        <w:rPr>
          <w:noProof/>
        </w:rPr>
        <w:fldChar w:fldCharType="separate"/>
      </w:r>
      <w:r>
        <w:rPr>
          <w:noProof/>
        </w:rPr>
        <w:t>1</w:t>
      </w:r>
      <w:r>
        <w:rPr>
          <w:noProof/>
        </w:rPr>
        <w:fldChar w:fldCharType="end"/>
      </w:r>
    </w:p>
    <w:p w:rsidR="000C448F" w:rsidRDefault="000C448F">
      <w:pPr>
        <w:pStyle w:val="TOC2"/>
        <w:rPr>
          <w:rFonts w:asciiTheme="minorHAnsi" w:eastAsiaTheme="minorEastAsia" w:hAnsiTheme="minorHAnsi" w:cstheme="minorBidi"/>
          <w:caps w:val="0"/>
          <w:noProof/>
          <w:color w:val="auto"/>
          <w:sz w:val="22"/>
          <w:szCs w:val="22"/>
        </w:rPr>
      </w:pPr>
      <w:r>
        <w:rPr>
          <w:noProof/>
        </w:rPr>
        <w:t>Introduction</w:t>
      </w:r>
      <w:r>
        <w:rPr>
          <w:noProof/>
        </w:rPr>
        <w:tab/>
      </w:r>
      <w:r>
        <w:rPr>
          <w:noProof/>
        </w:rPr>
        <w:fldChar w:fldCharType="begin"/>
      </w:r>
      <w:r>
        <w:rPr>
          <w:noProof/>
        </w:rPr>
        <w:instrText xml:space="preserve"> PAGEREF _Toc404177148 \h </w:instrText>
      </w:r>
      <w:r>
        <w:rPr>
          <w:noProof/>
        </w:rPr>
      </w:r>
      <w:r>
        <w:rPr>
          <w:noProof/>
        </w:rPr>
        <w:fldChar w:fldCharType="separate"/>
      </w:r>
      <w:r>
        <w:rPr>
          <w:noProof/>
        </w:rPr>
        <w:t>2</w:t>
      </w:r>
      <w:r>
        <w:rPr>
          <w:noProof/>
        </w:rPr>
        <w:fldChar w:fldCharType="end"/>
      </w:r>
    </w:p>
    <w:p w:rsidR="000C448F" w:rsidRDefault="000C448F">
      <w:pPr>
        <w:pStyle w:val="TOC2"/>
        <w:rPr>
          <w:rFonts w:asciiTheme="minorHAnsi" w:eastAsiaTheme="minorEastAsia" w:hAnsiTheme="minorHAnsi" w:cstheme="minorBidi"/>
          <w:caps w:val="0"/>
          <w:noProof/>
          <w:color w:val="auto"/>
          <w:sz w:val="22"/>
          <w:szCs w:val="22"/>
        </w:rPr>
      </w:pPr>
      <w:r>
        <w:rPr>
          <w:noProof/>
        </w:rPr>
        <w:t>Research Scope and Methodology</w:t>
      </w:r>
      <w:r>
        <w:rPr>
          <w:noProof/>
        </w:rPr>
        <w:tab/>
      </w:r>
      <w:r>
        <w:rPr>
          <w:noProof/>
        </w:rPr>
        <w:fldChar w:fldCharType="begin"/>
      </w:r>
      <w:r>
        <w:rPr>
          <w:noProof/>
        </w:rPr>
        <w:instrText xml:space="preserve"> PAGEREF _Toc404177149 \h </w:instrText>
      </w:r>
      <w:r>
        <w:rPr>
          <w:noProof/>
        </w:rPr>
      </w:r>
      <w:r>
        <w:rPr>
          <w:noProof/>
        </w:rPr>
        <w:fldChar w:fldCharType="separate"/>
      </w:r>
      <w:r>
        <w:rPr>
          <w:noProof/>
        </w:rPr>
        <w:t>2</w:t>
      </w:r>
      <w:r>
        <w:rPr>
          <w:noProof/>
        </w:rPr>
        <w:fldChar w:fldCharType="end"/>
      </w:r>
    </w:p>
    <w:p w:rsidR="000C448F" w:rsidRDefault="000C448F">
      <w:pPr>
        <w:pStyle w:val="TOC3"/>
        <w:rPr>
          <w:rFonts w:asciiTheme="minorHAnsi" w:eastAsiaTheme="minorEastAsia" w:hAnsiTheme="minorHAnsi" w:cstheme="minorBidi"/>
          <w:noProof/>
          <w:color w:val="auto"/>
          <w:sz w:val="22"/>
        </w:rPr>
      </w:pPr>
      <w:r>
        <w:rPr>
          <w:noProof/>
        </w:rPr>
        <w:t>Limitations</w:t>
      </w:r>
      <w:r>
        <w:rPr>
          <w:noProof/>
        </w:rPr>
        <w:tab/>
      </w:r>
      <w:r>
        <w:rPr>
          <w:noProof/>
        </w:rPr>
        <w:fldChar w:fldCharType="begin"/>
      </w:r>
      <w:r>
        <w:rPr>
          <w:noProof/>
        </w:rPr>
        <w:instrText xml:space="preserve"> PAGEREF _Toc404177150 \h </w:instrText>
      </w:r>
      <w:r>
        <w:rPr>
          <w:noProof/>
        </w:rPr>
      </w:r>
      <w:r>
        <w:rPr>
          <w:noProof/>
        </w:rPr>
        <w:fldChar w:fldCharType="separate"/>
      </w:r>
      <w:r>
        <w:rPr>
          <w:noProof/>
        </w:rPr>
        <w:t>3</w:t>
      </w:r>
      <w:r>
        <w:rPr>
          <w:noProof/>
        </w:rPr>
        <w:fldChar w:fldCharType="end"/>
      </w:r>
    </w:p>
    <w:p w:rsidR="000C448F" w:rsidRDefault="000C448F">
      <w:pPr>
        <w:pStyle w:val="TOC2"/>
        <w:rPr>
          <w:rFonts w:asciiTheme="minorHAnsi" w:eastAsiaTheme="minorEastAsia" w:hAnsiTheme="minorHAnsi" w:cstheme="minorBidi"/>
          <w:caps w:val="0"/>
          <w:noProof/>
          <w:color w:val="auto"/>
          <w:sz w:val="22"/>
          <w:szCs w:val="22"/>
        </w:rPr>
      </w:pPr>
      <w:r>
        <w:rPr>
          <w:noProof/>
        </w:rPr>
        <w:t>Key Findings</w:t>
      </w:r>
      <w:r>
        <w:rPr>
          <w:noProof/>
        </w:rPr>
        <w:tab/>
      </w:r>
      <w:r>
        <w:rPr>
          <w:noProof/>
        </w:rPr>
        <w:fldChar w:fldCharType="begin"/>
      </w:r>
      <w:r>
        <w:rPr>
          <w:noProof/>
        </w:rPr>
        <w:instrText xml:space="preserve"> PAGEREF _Toc404177151 \h </w:instrText>
      </w:r>
      <w:r>
        <w:rPr>
          <w:noProof/>
        </w:rPr>
      </w:r>
      <w:r>
        <w:rPr>
          <w:noProof/>
        </w:rPr>
        <w:fldChar w:fldCharType="separate"/>
      </w:r>
      <w:r>
        <w:rPr>
          <w:noProof/>
        </w:rPr>
        <w:t>4</w:t>
      </w:r>
      <w:r>
        <w:rPr>
          <w:noProof/>
        </w:rPr>
        <w:fldChar w:fldCharType="end"/>
      </w:r>
    </w:p>
    <w:p w:rsidR="000C448F" w:rsidRDefault="000C448F">
      <w:pPr>
        <w:pStyle w:val="TOC2"/>
        <w:rPr>
          <w:rFonts w:asciiTheme="minorHAnsi" w:eastAsiaTheme="minorEastAsia" w:hAnsiTheme="minorHAnsi" w:cstheme="minorBidi"/>
          <w:caps w:val="0"/>
          <w:noProof/>
          <w:color w:val="auto"/>
          <w:sz w:val="22"/>
          <w:szCs w:val="22"/>
        </w:rPr>
      </w:pPr>
      <w:r>
        <w:rPr>
          <w:noProof/>
        </w:rPr>
        <w:t>Food Security, Health, and Social Outcomes</w:t>
      </w:r>
      <w:r>
        <w:rPr>
          <w:noProof/>
        </w:rPr>
        <w:tab/>
      </w:r>
      <w:r>
        <w:rPr>
          <w:noProof/>
        </w:rPr>
        <w:fldChar w:fldCharType="begin"/>
      </w:r>
      <w:r>
        <w:rPr>
          <w:noProof/>
        </w:rPr>
        <w:instrText xml:space="preserve"> PAGEREF _Toc404177152 \h </w:instrText>
      </w:r>
      <w:r>
        <w:rPr>
          <w:noProof/>
        </w:rPr>
      </w:r>
      <w:r>
        <w:rPr>
          <w:noProof/>
        </w:rPr>
        <w:fldChar w:fldCharType="separate"/>
      </w:r>
      <w:r>
        <w:rPr>
          <w:noProof/>
        </w:rPr>
        <w:t>4</w:t>
      </w:r>
      <w:r>
        <w:rPr>
          <w:noProof/>
        </w:rPr>
        <w:fldChar w:fldCharType="end"/>
      </w:r>
    </w:p>
    <w:p w:rsidR="000C448F" w:rsidRDefault="000C448F">
      <w:pPr>
        <w:pStyle w:val="TOC3"/>
        <w:rPr>
          <w:rFonts w:asciiTheme="minorHAnsi" w:eastAsiaTheme="minorEastAsia" w:hAnsiTheme="minorHAnsi" w:cstheme="minorBidi"/>
          <w:noProof/>
          <w:color w:val="auto"/>
          <w:sz w:val="22"/>
        </w:rPr>
      </w:pPr>
      <w:r>
        <w:rPr>
          <w:noProof/>
        </w:rPr>
        <w:t>Improved Consumption Smoothing</w:t>
      </w:r>
      <w:r>
        <w:rPr>
          <w:noProof/>
        </w:rPr>
        <w:tab/>
      </w:r>
      <w:r>
        <w:rPr>
          <w:noProof/>
        </w:rPr>
        <w:fldChar w:fldCharType="begin"/>
      </w:r>
      <w:r>
        <w:rPr>
          <w:noProof/>
        </w:rPr>
        <w:instrText xml:space="preserve"> PAGEREF _Toc404177153 \h </w:instrText>
      </w:r>
      <w:r>
        <w:rPr>
          <w:noProof/>
        </w:rPr>
      </w:r>
      <w:r>
        <w:rPr>
          <w:noProof/>
        </w:rPr>
        <w:fldChar w:fldCharType="separate"/>
      </w:r>
      <w:r>
        <w:rPr>
          <w:noProof/>
        </w:rPr>
        <w:t>5</w:t>
      </w:r>
      <w:r>
        <w:rPr>
          <w:noProof/>
        </w:rPr>
        <w:fldChar w:fldCharType="end"/>
      </w:r>
    </w:p>
    <w:p w:rsidR="000C448F" w:rsidRDefault="000C448F">
      <w:pPr>
        <w:pStyle w:val="TOC3"/>
        <w:rPr>
          <w:rFonts w:asciiTheme="minorHAnsi" w:eastAsiaTheme="minorEastAsia" w:hAnsiTheme="minorHAnsi" w:cstheme="minorBidi"/>
          <w:noProof/>
          <w:color w:val="auto"/>
          <w:sz w:val="22"/>
        </w:rPr>
      </w:pPr>
      <w:r>
        <w:rPr>
          <w:noProof/>
        </w:rPr>
        <w:t>Food Security</w:t>
      </w:r>
      <w:r>
        <w:rPr>
          <w:noProof/>
        </w:rPr>
        <w:tab/>
      </w:r>
      <w:r>
        <w:rPr>
          <w:noProof/>
        </w:rPr>
        <w:fldChar w:fldCharType="begin"/>
      </w:r>
      <w:r>
        <w:rPr>
          <w:noProof/>
        </w:rPr>
        <w:instrText xml:space="preserve"> PAGEREF _Toc404177155 \h </w:instrText>
      </w:r>
      <w:r>
        <w:rPr>
          <w:noProof/>
        </w:rPr>
      </w:r>
      <w:r>
        <w:rPr>
          <w:noProof/>
        </w:rPr>
        <w:fldChar w:fldCharType="separate"/>
      </w:r>
      <w:r>
        <w:rPr>
          <w:noProof/>
        </w:rPr>
        <w:t>5</w:t>
      </w:r>
      <w:r>
        <w:rPr>
          <w:noProof/>
        </w:rPr>
        <w:fldChar w:fldCharType="end"/>
      </w:r>
    </w:p>
    <w:p w:rsidR="000C448F" w:rsidRDefault="000C448F">
      <w:pPr>
        <w:pStyle w:val="TOC3"/>
        <w:rPr>
          <w:rFonts w:asciiTheme="minorHAnsi" w:eastAsiaTheme="minorEastAsia" w:hAnsiTheme="minorHAnsi" w:cstheme="minorBidi"/>
          <w:noProof/>
          <w:color w:val="auto"/>
          <w:sz w:val="22"/>
        </w:rPr>
      </w:pPr>
      <w:r>
        <w:rPr>
          <w:noProof/>
        </w:rPr>
        <w:t>MVC Funds</w:t>
      </w:r>
      <w:r>
        <w:rPr>
          <w:noProof/>
        </w:rPr>
        <w:tab/>
      </w:r>
      <w:r>
        <w:rPr>
          <w:noProof/>
        </w:rPr>
        <w:fldChar w:fldCharType="begin"/>
      </w:r>
      <w:r>
        <w:rPr>
          <w:noProof/>
        </w:rPr>
        <w:instrText xml:space="preserve"> PAGEREF _Toc404177156 \h </w:instrText>
      </w:r>
      <w:r>
        <w:rPr>
          <w:noProof/>
        </w:rPr>
      </w:r>
      <w:r>
        <w:rPr>
          <w:noProof/>
        </w:rPr>
        <w:fldChar w:fldCharType="separate"/>
      </w:r>
      <w:r>
        <w:rPr>
          <w:noProof/>
        </w:rPr>
        <w:t>5</w:t>
      </w:r>
      <w:r>
        <w:rPr>
          <w:noProof/>
        </w:rPr>
        <w:fldChar w:fldCharType="end"/>
      </w:r>
    </w:p>
    <w:p w:rsidR="000C448F" w:rsidRDefault="000C448F">
      <w:pPr>
        <w:pStyle w:val="TOC3"/>
        <w:rPr>
          <w:rFonts w:asciiTheme="minorHAnsi" w:eastAsiaTheme="minorEastAsia" w:hAnsiTheme="minorHAnsi" w:cstheme="minorBidi"/>
          <w:noProof/>
          <w:color w:val="auto"/>
          <w:sz w:val="22"/>
        </w:rPr>
      </w:pPr>
      <w:r>
        <w:rPr>
          <w:noProof/>
        </w:rPr>
        <w:t>Improved Health, Social, Economic, and Empowerment Outcomes from Participation</w:t>
      </w:r>
      <w:r>
        <w:rPr>
          <w:noProof/>
        </w:rPr>
        <w:tab/>
      </w:r>
      <w:r>
        <w:rPr>
          <w:noProof/>
        </w:rPr>
        <w:fldChar w:fldCharType="begin"/>
      </w:r>
      <w:r>
        <w:rPr>
          <w:noProof/>
        </w:rPr>
        <w:instrText xml:space="preserve"> PAGEREF _Toc404177157 \h </w:instrText>
      </w:r>
      <w:r>
        <w:rPr>
          <w:noProof/>
        </w:rPr>
      </w:r>
      <w:r>
        <w:rPr>
          <w:noProof/>
        </w:rPr>
        <w:fldChar w:fldCharType="separate"/>
      </w:r>
      <w:r>
        <w:rPr>
          <w:noProof/>
        </w:rPr>
        <w:t>6</w:t>
      </w:r>
      <w:r>
        <w:rPr>
          <w:noProof/>
        </w:rPr>
        <w:fldChar w:fldCharType="end"/>
      </w:r>
    </w:p>
    <w:p w:rsidR="000C448F" w:rsidRDefault="000C448F">
      <w:pPr>
        <w:pStyle w:val="TOC3"/>
        <w:rPr>
          <w:rFonts w:asciiTheme="minorHAnsi" w:eastAsiaTheme="minorEastAsia" w:hAnsiTheme="minorHAnsi" w:cstheme="minorBidi"/>
          <w:noProof/>
          <w:color w:val="auto"/>
          <w:sz w:val="22"/>
        </w:rPr>
      </w:pPr>
      <w:r>
        <w:rPr>
          <w:noProof/>
        </w:rPr>
        <w:t>Reduced Isolation and Stigma</w:t>
      </w:r>
      <w:r>
        <w:rPr>
          <w:noProof/>
        </w:rPr>
        <w:tab/>
      </w:r>
      <w:r>
        <w:rPr>
          <w:noProof/>
        </w:rPr>
        <w:fldChar w:fldCharType="begin"/>
      </w:r>
      <w:r>
        <w:rPr>
          <w:noProof/>
        </w:rPr>
        <w:instrText xml:space="preserve"> PAGEREF _Toc404177158 \h </w:instrText>
      </w:r>
      <w:r>
        <w:rPr>
          <w:noProof/>
        </w:rPr>
      </w:r>
      <w:r>
        <w:rPr>
          <w:noProof/>
        </w:rPr>
        <w:fldChar w:fldCharType="separate"/>
      </w:r>
      <w:r>
        <w:rPr>
          <w:noProof/>
        </w:rPr>
        <w:t>6</w:t>
      </w:r>
      <w:r>
        <w:rPr>
          <w:noProof/>
        </w:rPr>
        <w:fldChar w:fldCharType="end"/>
      </w:r>
    </w:p>
    <w:p w:rsidR="000C448F" w:rsidRDefault="000C448F">
      <w:pPr>
        <w:pStyle w:val="TOC3"/>
        <w:rPr>
          <w:rFonts w:asciiTheme="minorHAnsi" w:eastAsiaTheme="minorEastAsia" w:hAnsiTheme="minorHAnsi" w:cstheme="minorBidi"/>
          <w:noProof/>
          <w:color w:val="auto"/>
          <w:sz w:val="22"/>
        </w:rPr>
      </w:pPr>
      <w:r>
        <w:rPr>
          <w:noProof/>
        </w:rPr>
        <w:t>Financial Inclusion</w:t>
      </w:r>
      <w:r>
        <w:rPr>
          <w:noProof/>
        </w:rPr>
        <w:tab/>
      </w:r>
      <w:r>
        <w:rPr>
          <w:noProof/>
        </w:rPr>
        <w:fldChar w:fldCharType="begin"/>
      </w:r>
      <w:r>
        <w:rPr>
          <w:noProof/>
        </w:rPr>
        <w:instrText xml:space="preserve"> PAGEREF _Toc404177159 \h </w:instrText>
      </w:r>
      <w:r>
        <w:rPr>
          <w:noProof/>
        </w:rPr>
      </w:r>
      <w:r>
        <w:rPr>
          <w:noProof/>
        </w:rPr>
        <w:fldChar w:fldCharType="separate"/>
      </w:r>
      <w:r>
        <w:rPr>
          <w:noProof/>
        </w:rPr>
        <w:t>6</w:t>
      </w:r>
      <w:r>
        <w:rPr>
          <w:noProof/>
        </w:rPr>
        <w:fldChar w:fldCharType="end"/>
      </w:r>
    </w:p>
    <w:p w:rsidR="000C448F" w:rsidRDefault="000C448F">
      <w:pPr>
        <w:pStyle w:val="TOC2"/>
        <w:rPr>
          <w:rFonts w:asciiTheme="minorHAnsi" w:eastAsiaTheme="minorEastAsia" w:hAnsiTheme="minorHAnsi" w:cstheme="minorBidi"/>
          <w:caps w:val="0"/>
          <w:noProof/>
          <w:color w:val="auto"/>
          <w:sz w:val="22"/>
          <w:szCs w:val="22"/>
        </w:rPr>
      </w:pPr>
      <w:r>
        <w:rPr>
          <w:noProof/>
        </w:rPr>
        <w:t>Policy and Program Implications</w:t>
      </w:r>
      <w:r>
        <w:rPr>
          <w:noProof/>
        </w:rPr>
        <w:tab/>
      </w:r>
      <w:r>
        <w:rPr>
          <w:noProof/>
        </w:rPr>
        <w:fldChar w:fldCharType="begin"/>
      </w:r>
      <w:r>
        <w:rPr>
          <w:noProof/>
        </w:rPr>
        <w:instrText xml:space="preserve"> PAGEREF _Toc404177160 \h </w:instrText>
      </w:r>
      <w:r>
        <w:rPr>
          <w:noProof/>
        </w:rPr>
      </w:r>
      <w:r>
        <w:rPr>
          <w:noProof/>
        </w:rPr>
        <w:fldChar w:fldCharType="separate"/>
      </w:r>
      <w:r>
        <w:rPr>
          <w:noProof/>
        </w:rPr>
        <w:t>7</w:t>
      </w:r>
      <w:r>
        <w:rPr>
          <w:noProof/>
        </w:rPr>
        <w:fldChar w:fldCharType="end"/>
      </w:r>
    </w:p>
    <w:p w:rsidR="000C448F" w:rsidRDefault="000C448F">
      <w:pPr>
        <w:pStyle w:val="TOC3"/>
        <w:rPr>
          <w:rFonts w:asciiTheme="minorHAnsi" w:eastAsiaTheme="minorEastAsia" w:hAnsiTheme="minorHAnsi" w:cstheme="minorBidi"/>
          <w:noProof/>
          <w:color w:val="auto"/>
          <w:sz w:val="22"/>
        </w:rPr>
      </w:pPr>
      <w:r>
        <w:rPr>
          <w:noProof/>
        </w:rPr>
        <w:t>CSG Facilitation and Sustainability</w:t>
      </w:r>
      <w:r>
        <w:rPr>
          <w:noProof/>
        </w:rPr>
        <w:tab/>
      </w:r>
      <w:r>
        <w:rPr>
          <w:noProof/>
        </w:rPr>
        <w:fldChar w:fldCharType="begin"/>
      </w:r>
      <w:r>
        <w:rPr>
          <w:noProof/>
        </w:rPr>
        <w:instrText xml:space="preserve"> PAGEREF _Toc404177161 \h </w:instrText>
      </w:r>
      <w:r>
        <w:rPr>
          <w:noProof/>
        </w:rPr>
      </w:r>
      <w:r>
        <w:rPr>
          <w:noProof/>
        </w:rPr>
        <w:fldChar w:fldCharType="separate"/>
      </w:r>
      <w:r>
        <w:rPr>
          <w:noProof/>
        </w:rPr>
        <w:t>7</w:t>
      </w:r>
      <w:r>
        <w:rPr>
          <w:noProof/>
        </w:rPr>
        <w:fldChar w:fldCharType="end"/>
      </w:r>
    </w:p>
    <w:p w:rsidR="000C448F" w:rsidRDefault="000C448F">
      <w:pPr>
        <w:pStyle w:val="TOC3"/>
        <w:rPr>
          <w:rFonts w:asciiTheme="minorHAnsi" w:eastAsiaTheme="minorEastAsia" w:hAnsiTheme="minorHAnsi" w:cstheme="minorBidi"/>
          <w:noProof/>
          <w:color w:val="auto"/>
          <w:sz w:val="22"/>
        </w:rPr>
      </w:pPr>
      <w:r>
        <w:rPr>
          <w:noProof/>
        </w:rPr>
        <w:t>CSGs for Members or Donors/Governments</w:t>
      </w:r>
      <w:r>
        <w:rPr>
          <w:noProof/>
        </w:rPr>
        <w:tab/>
      </w:r>
      <w:r>
        <w:rPr>
          <w:noProof/>
        </w:rPr>
        <w:fldChar w:fldCharType="begin"/>
      </w:r>
      <w:r>
        <w:rPr>
          <w:noProof/>
        </w:rPr>
        <w:instrText xml:space="preserve"> PAGEREF _Toc404177162 \h </w:instrText>
      </w:r>
      <w:r>
        <w:rPr>
          <w:noProof/>
        </w:rPr>
      </w:r>
      <w:r>
        <w:rPr>
          <w:noProof/>
        </w:rPr>
        <w:fldChar w:fldCharType="separate"/>
      </w:r>
      <w:r>
        <w:rPr>
          <w:noProof/>
        </w:rPr>
        <w:t>7</w:t>
      </w:r>
      <w:r>
        <w:rPr>
          <w:noProof/>
        </w:rPr>
        <w:fldChar w:fldCharType="end"/>
      </w:r>
    </w:p>
    <w:p w:rsidR="000C448F" w:rsidRDefault="000C448F">
      <w:pPr>
        <w:pStyle w:val="TOC3"/>
        <w:rPr>
          <w:rFonts w:asciiTheme="minorHAnsi" w:eastAsiaTheme="minorEastAsia" w:hAnsiTheme="minorHAnsi" w:cstheme="minorBidi"/>
          <w:noProof/>
          <w:color w:val="auto"/>
          <w:sz w:val="22"/>
        </w:rPr>
      </w:pPr>
      <w:r>
        <w:rPr>
          <w:noProof/>
        </w:rPr>
        <w:t>Continuing to Build the Evidence Base</w:t>
      </w:r>
      <w:r>
        <w:rPr>
          <w:noProof/>
        </w:rPr>
        <w:tab/>
      </w:r>
      <w:r>
        <w:rPr>
          <w:noProof/>
        </w:rPr>
        <w:fldChar w:fldCharType="begin"/>
      </w:r>
      <w:r>
        <w:rPr>
          <w:noProof/>
        </w:rPr>
        <w:instrText xml:space="preserve"> PAGEREF _Toc404177163 \h </w:instrText>
      </w:r>
      <w:r>
        <w:rPr>
          <w:noProof/>
        </w:rPr>
      </w:r>
      <w:r>
        <w:rPr>
          <w:noProof/>
        </w:rPr>
        <w:fldChar w:fldCharType="separate"/>
      </w:r>
      <w:r>
        <w:rPr>
          <w:noProof/>
        </w:rPr>
        <w:t>8</w:t>
      </w:r>
      <w:r>
        <w:rPr>
          <w:noProof/>
        </w:rPr>
        <w:fldChar w:fldCharType="end"/>
      </w:r>
    </w:p>
    <w:p w:rsidR="000C448F" w:rsidRDefault="000C448F">
      <w:pPr>
        <w:pStyle w:val="TOC2"/>
        <w:rPr>
          <w:rFonts w:asciiTheme="minorHAnsi" w:eastAsiaTheme="minorEastAsia" w:hAnsiTheme="minorHAnsi" w:cstheme="minorBidi"/>
          <w:caps w:val="0"/>
          <w:noProof/>
          <w:color w:val="auto"/>
          <w:sz w:val="22"/>
          <w:szCs w:val="22"/>
        </w:rPr>
      </w:pPr>
      <w:r>
        <w:rPr>
          <w:noProof/>
        </w:rPr>
        <w:t>Conclusion</w:t>
      </w:r>
      <w:r>
        <w:rPr>
          <w:noProof/>
        </w:rPr>
        <w:tab/>
      </w:r>
      <w:r>
        <w:rPr>
          <w:noProof/>
        </w:rPr>
        <w:fldChar w:fldCharType="begin"/>
      </w:r>
      <w:r>
        <w:rPr>
          <w:noProof/>
        </w:rPr>
        <w:instrText xml:space="preserve"> PAGEREF _Toc404177164 \h </w:instrText>
      </w:r>
      <w:r>
        <w:rPr>
          <w:noProof/>
        </w:rPr>
      </w:r>
      <w:r>
        <w:rPr>
          <w:noProof/>
        </w:rPr>
        <w:fldChar w:fldCharType="separate"/>
      </w:r>
      <w:r>
        <w:rPr>
          <w:noProof/>
        </w:rPr>
        <w:t>8</w:t>
      </w:r>
      <w:r>
        <w:rPr>
          <w:noProof/>
        </w:rPr>
        <w:fldChar w:fldCharType="end"/>
      </w:r>
    </w:p>
    <w:p w:rsidR="000C448F" w:rsidRDefault="000C448F">
      <w:pPr>
        <w:pStyle w:val="TOC2"/>
        <w:rPr>
          <w:rFonts w:asciiTheme="minorHAnsi" w:eastAsiaTheme="minorEastAsia" w:hAnsiTheme="minorHAnsi" w:cstheme="minorBidi"/>
          <w:caps w:val="0"/>
          <w:noProof/>
          <w:color w:val="auto"/>
          <w:sz w:val="22"/>
          <w:szCs w:val="22"/>
        </w:rPr>
      </w:pPr>
      <w:r>
        <w:rPr>
          <w:noProof/>
        </w:rPr>
        <w:t>References</w:t>
      </w:r>
      <w:r>
        <w:rPr>
          <w:noProof/>
        </w:rPr>
        <w:tab/>
      </w:r>
      <w:r>
        <w:rPr>
          <w:noProof/>
        </w:rPr>
        <w:fldChar w:fldCharType="begin"/>
      </w:r>
      <w:r>
        <w:rPr>
          <w:noProof/>
        </w:rPr>
        <w:instrText xml:space="preserve"> PAGEREF _Toc404177165 \h </w:instrText>
      </w:r>
      <w:r>
        <w:rPr>
          <w:noProof/>
        </w:rPr>
      </w:r>
      <w:r>
        <w:rPr>
          <w:noProof/>
        </w:rPr>
        <w:fldChar w:fldCharType="separate"/>
      </w:r>
      <w:r>
        <w:rPr>
          <w:noProof/>
        </w:rPr>
        <w:t>9</w:t>
      </w:r>
      <w:r>
        <w:rPr>
          <w:noProof/>
        </w:rPr>
        <w:fldChar w:fldCharType="end"/>
      </w:r>
    </w:p>
    <w:p w:rsidR="000C448F" w:rsidRDefault="000C448F">
      <w:pPr>
        <w:pStyle w:val="TOC2"/>
        <w:rPr>
          <w:noProof/>
        </w:rPr>
      </w:pPr>
    </w:p>
    <w:p w:rsidR="000C448F" w:rsidRDefault="000C448F">
      <w:pPr>
        <w:pStyle w:val="TOC2"/>
        <w:rPr>
          <w:rFonts w:asciiTheme="minorHAnsi" w:eastAsiaTheme="minorEastAsia" w:hAnsiTheme="minorHAnsi" w:cstheme="minorBidi"/>
          <w:caps w:val="0"/>
          <w:noProof/>
          <w:color w:val="auto"/>
          <w:sz w:val="22"/>
          <w:szCs w:val="22"/>
        </w:rPr>
      </w:pPr>
      <w:r>
        <w:rPr>
          <w:noProof/>
        </w:rPr>
        <w:t>Annex 1:  Comparison of Different CSG Methodologies</w:t>
      </w:r>
      <w:r>
        <w:rPr>
          <w:noProof/>
        </w:rPr>
        <w:tab/>
      </w:r>
      <w:r>
        <w:rPr>
          <w:noProof/>
        </w:rPr>
        <w:fldChar w:fldCharType="begin"/>
      </w:r>
      <w:r>
        <w:rPr>
          <w:noProof/>
        </w:rPr>
        <w:instrText xml:space="preserve"> PAGEREF _Toc404177166 \h </w:instrText>
      </w:r>
      <w:r>
        <w:rPr>
          <w:noProof/>
        </w:rPr>
      </w:r>
      <w:r>
        <w:rPr>
          <w:noProof/>
        </w:rPr>
        <w:fldChar w:fldCharType="separate"/>
      </w:r>
      <w:r>
        <w:rPr>
          <w:noProof/>
        </w:rPr>
        <w:t>10</w:t>
      </w:r>
      <w:r>
        <w:rPr>
          <w:noProof/>
        </w:rPr>
        <w:fldChar w:fldCharType="end"/>
      </w:r>
    </w:p>
    <w:p w:rsidR="000C448F" w:rsidRDefault="000C448F">
      <w:pPr>
        <w:pStyle w:val="TOC2"/>
        <w:rPr>
          <w:rFonts w:asciiTheme="minorHAnsi" w:eastAsiaTheme="minorEastAsia" w:hAnsiTheme="minorHAnsi" w:cstheme="minorBidi"/>
          <w:caps w:val="0"/>
          <w:noProof/>
          <w:color w:val="auto"/>
          <w:sz w:val="22"/>
          <w:szCs w:val="22"/>
        </w:rPr>
      </w:pPr>
      <w:r>
        <w:rPr>
          <w:noProof/>
        </w:rPr>
        <w:t>Annex 2: MVC Funds by PT Partner (as of May 2014)</w:t>
      </w:r>
      <w:r>
        <w:rPr>
          <w:noProof/>
        </w:rPr>
        <w:tab/>
      </w:r>
      <w:r>
        <w:rPr>
          <w:noProof/>
        </w:rPr>
        <w:fldChar w:fldCharType="begin"/>
      </w:r>
      <w:r>
        <w:rPr>
          <w:noProof/>
        </w:rPr>
        <w:instrText xml:space="preserve"> PAGEREF _Toc404177167 \h </w:instrText>
      </w:r>
      <w:r>
        <w:rPr>
          <w:noProof/>
        </w:rPr>
      </w:r>
      <w:r>
        <w:rPr>
          <w:noProof/>
        </w:rPr>
        <w:fldChar w:fldCharType="separate"/>
      </w:r>
      <w:r>
        <w:rPr>
          <w:noProof/>
        </w:rPr>
        <w:t>13</w:t>
      </w:r>
      <w:r>
        <w:rPr>
          <w:noProof/>
        </w:rPr>
        <w:fldChar w:fldCharType="end"/>
      </w:r>
    </w:p>
    <w:p w:rsidR="00EF0030" w:rsidRDefault="00B8632F" w:rsidP="00FA5B24">
      <w:pPr>
        <w:pStyle w:val="Heading1"/>
        <w:rPr>
          <w:color w:val="2B5A85"/>
          <w:kern w:val="0"/>
          <w:sz w:val="28"/>
          <w:szCs w:val="22"/>
        </w:rPr>
      </w:pPr>
      <w:r>
        <w:rPr>
          <w:color w:val="2B5A85"/>
          <w:kern w:val="0"/>
          <w:sz w:val="28"/>
          <w:szCs w:val="22"/>
        </w:rPr>
        <w:fldChar w:fldCharType="end"/>
      </w:r>
    </w:p>
    <w:p w:rsidR="003D53FB" w:rsidRPr="003D53FB" w:rsidRDefault="003D53FB" w:rsidP="003D53FB"/>
    <w:p w:rsidR="00B11177" w:rsidRDefault="00B11177" w:rsidP="00B11177">
      <w:pPr>
        <w:pStyle w:val="Contents"/>
      </w:pPr>
      <w:r>
        <w:t>Tables and Figures</w:t>
      </w:r>
    </w:p>
    <w:p w:rsidR="00B11177" w:rsidRDefault="00B11177" w:rsidP="00B11177">
      <w:pPr>
        <w:pStyle w:val="TableandFigureSubheads"/>
      </w:pPr>
      <w:r>
        <w:t>Table</w:t>
      </w:r>
    </w:p>
    <w:p w:rsidR="00B11177" w:rsidRDefault="00B11177" w:rsidP="00837CA7">
      <w:pPr>
        <w:pStyle w:val="TOC4"/>
        <w:rPr>
          <w:rFonts w:asciiTheme="minorHAnsi" w:eastAsiaTheme="minorEastAsia" w:hAnsiTheme="minorHAnsi" w:cstheme="minorBidi"/>
          <w:noProof/>
          <w:color w:val="auto"/>
          <w:sz w:val="22"/>
          <w:szCs w:val="22"/>
        </w:rPr>
      </w:pPr>
      <w:r>
        <w:rPr>
          <w:szCs w:val="22"/>
        </w:rPr>
        <w:fldChar w:fldCharType="begin"/>
      </w:r>
      <w:r>
        <w:rPr>
          <w:szCs w:val="22"/>
        </w:rPr>
        <w:instrText xml:space="preserve"> TOC \t "Table Title,4" </w:instrText>
      </w:r>
      <w:r>
        <w:rPr>
          <w:szCs w:val="22"/>
        </w:rPr>
        <w:fldChar w:fldCharType="separate"/>
      </w:r>
      <w:r>
        <w:rPr>
          <w:noProof/>
        </w:rPr>
        <w:t>1</w:t>
      </w:r>
      <w:r w:rsidR="00CB65A0">
        <w:rPr>
          <w:noProof/>
        </w:rPr>
        <w:tab/>
      </w:r>
      <w:r>
        <w:rPr>
          <w:noProof/>
        </w:rPr>
        <w:t>PT Membership Statistics</w:t>
      </w:r>
      <w:r>
        <w:rPr>
          <w:noProof/>
        </w:rPr>
        <w:tab/>
      </w:r>
      <w:r>
        <w:rPr>
          <w:noProof/>
        </w:rPr>
        <w:fldChar w:fldCharType="begin"/>
      </w:r>
      <w:r>
        <w:rPr>
          <w:noProof/>
        </w:rPr>
        <w:instrText xml:space="preserve"> PAGEREF _Toc404171840 \h </w:instrText>
      </w:r>
      <w:r>
        <w:rPr>
          <w:noProof/>
        </w:rPr>
      </w:r>
      <w:r>
        <w:rPr>
          <w:noProof/>
        </w:rPr>
        <w:fldChar w:fldCharType="separate"/>
      </w:r>
      <w:r w:rsidR="00285CF2">
        <w:rPr>
          <w:noProof/>
        </w:rPr>
        <w:t>4</w:t>
      </w:r>
      <w:r>
        <w:rPr>
          <w:noProof/>
        </w:rPr>
        <w:fldChar w:fldCharType="end"/>
      </w:r>
    </w:p>
    <w:p w:rsidR="00B11177" w:rsidRDefault="00CB65A0" w:rsidP="00837CA7">
      <w:pPr>
        <w:pStyle w:val="TOC4"/>
        <w:rPr>
          <w:rFonts w:asciiTheme="minorHAnsi" w:eastAsiaTheme="minorEastAsia" w:hAnsiTheme="minorHAnsi" w:cstheme="minorBidi"/>
          <w:noProof/>
          <w:color w:val="auto"/>
          <w:sz w:val="22"/>
          <w:szCs w:val="22"/>
        </w:rPr>
      </w:pPr>
      <w:r>
        <w:rPr>
          <w:noProof/>
        </w:rPr>
        <w:t>2</w:t>
      </w:r>
      <w:r>
        <w:rPr>
          <w:noProof/>
        </w:rPr>
        <w:tab/>
      </w:r>
      <w:r w:rsidR="00B11177">
        <w:rPr>
          <w:noProof/>
        </w:rPr>
        <w:t>H</w:t>
      </w:r>
      <w:r w:rsidR="00070D6C">
        <w:rPr>
          <w:noProof/>
        </w:rPr>
        <w:t>ousehold</w:t>
      </w:r>
      <w:r w:rsidR="00B11177">
        <w:rPr>
          <w:noProof/>
        </w:rPr>
        <w:t xml:space="preserve"> Financial Inclusion</w:t>
      </w:r>
      <w:r w:rsidR="00B11177">
        <w:rPr>
          <w:noProof/>
        </w:rPr>
        <w:tab/>
      </w:r>
      <w:r w:rsidR="00B11177">
        <w:rPr>
          <w:noProof/>
        </w:rPr>
        <w:fldChar w:fldCharType="begin"/>
      </w:r>
      <w:r w:rsidR="00B11177">
        <w:rPr>
          <w:noProof/>
        </w:rPr>
        <w:instrText xml:space="preserve"> PAGEREF _Toc404171841 \h </w:instrText>
      </w:r>
      <w:r w:rsidR="00B11177">
        <w:rPr>
          <w:noProof/>
        </w:rPr>
      </w:r>
      <w:r w:rsidR="00B11177">
        <w:rPr>
          <w:noProof/>
        </w:rPr>
        <w:fldChar w:fldCharType="separate"/>
      </w:r>
      <w:r w:rsidR="00285CF2">
        <w:rPr>
          <w:noProof/>
        </w:rPr>
        <w:t>6</w:t>
      </w:r>
      <w:r w:rsidR="00B11177">
        <w:rPr>
          <w:noProof/>
        </w:rPr>
        <w:fldChar w:fldCharType="end"/>
      </w:r>
    </w:p>
    <w:p w:rsidR="00B11177" w:rsidRDefault="00B11177" w:rsidP="00B11177">
      <w:r>
        <w:rPr>
          <w:rFonts w:ascii="HelveticaNeueLT Std" w:hAnsi="HelveticaNeueLT Std"/>
          <w:color w:val="2B5A85"/>
          <w:sz w:val="20"/>
          <w:szCs w:val="22"/>
        </w:rPr>
        <w:fldChar w:fldCharType="end"/>
      </w:r>
    </w:p>
    <w:p w:rsidR="004147FA" w:rsidRDefault="009E38AF" w:rsidP="008F64B6">
      <w:pPr>
        <w:pStyle w:val="TableandFigureSubheads"/>
        <w:rPr>
          <w:noProof/>
        </w:rPr>
      </w:pPr>
      <w:r>
        <w:t>Figure</w:t>
      </w:r>
      <w:r w:rsidR="0016478E">
        <w:fldChar w:fldCharType="begin"/>
      </w:r>
      <w:r w:rsidR="0016478E">
        <w:instrText xml:space="preserve"> TOC \t "Figure Title,4" </w:instrText>
      </w:r>
      <w:r w:rsidR="0016478E">
        <w:fldChar w:fldCharType="separate"/>
      </w:r>
    </w:p>
    <w:p w:rsidR="004147FA" w:rsidRDefault="00837CA7" w:rsidP="00837CA7">
      <w:pPr>
        <w:pStyle w:val="TOC4"/>
        <w:rPr>
          <w:rFonts w:asciiTheme="minorHAnsi" w:eastAsiaTheme="minorEastAsia" w:hAnsiTheme="minorHAnsi" w:cstheme="minorBidi"/>
          <w:noProof/>
          <w:color w:val="auto"/>
          <w:sz w:val="22"/>
          <w:szCs w:val="22"/>
        </w:rPr>
      </w:pPr>
      <w:r>
        <w:rPr>
          <w:noProof/>
        </w:rPr>
        <w:t>1 and 2</w:t>
      </w:r>
      <w:r>
        <w:rPr>
          <w:noProof/>
        </w:rPr>
        <w:tab/>
      </w:r>
      <w:r w:rsidR="004147FA">
        <w:rPr>
          <w:noProof/>
        </w:rPr>
        <w:t xml:space="preserve">Change in Monthly Savings </w:t>
      </w:r>
      <w:r w:rsidR="005A4DCB">
        <w:rPr>
          <w:noProof/>
        </w:rPr>
        <w:t>A</w:t>
      </w:r>
      <w:r w:rsidR="004147FA">
        <w:rPr>
          <w:noProof/>
        </w:rPr>
        <w:t xml:space="preserve">mong Households </w:t>
      </w:r>
      <w:r w:rsidR="005A4DCB">
        <w:rPr>
          <w:noProof/>
        </w:rPr>
        <w:t>T</w:t>
      </w:r>
      <w:r w:rsidR="004147FA">
        <w:rPr>
          <w:noProof/>
        </w:rPr>
        <w:t>hat Save</w:t>
      </w:r>
      <w:r w:rsidR="004147FA">
        <w:rPr>
          <w:noProof/>
        </w:rPr>
        <w:tab/>
      </w:r>
      <w:r w:rsidR="004147FA">
        <w:rPr>
          <w:noProof/>
        </w:rPr>
        <w:fldChar w:fldCharType="begin"/>
      </w:r>
      <w:r w:rsidR="004147FA">
        <w:rPr>
          <w:noProof/>
        </w:rPr>
        <w:instrText xml:space="preserve"> PAGEREF _Toc404171637 \h </w:instrText>
      </w:r>
      <w:r w:rsidR="004147FA">
        <w:rPr>
          <w:noProof/>
        </w:rPr>
      </w:r>
      <w:r w:rsidR="004147FA">
        <w:rPr>
          <w:noProof/>
        </w:rPr>
        <w:fldChar w:fldCharType="separate"/>
      </w:r>
      <w:r w:rsidR="00285CF2">
        <w:rPr>
          <w:noProof/>
        </w:rPr>
        <w:t>5</w:t>
      </w:r>
      <w:r w:rsidR="004147FA">
        <w:rPr>
          <w:noProof/>
        </w:rPr>
        <w:fldChar w:fldCharType="end"/>
      </w:r>
    </w:p>
    <w:p w:rsidR="004147FA" w:rsidRDefault="004147FA" w:rsidP="00837CA7">
      <w:pPr>
        <w:pStyle w:val="TOC4"/>
        <w:rPr>
          <w:rFonts w:asciiTheme="minorHAnsi" w:eastAsiaTheme="minorEastAsia" w:hAnsiTheme="minorHAnsi" w:cstheme="minorBidi"/>
          <w:noProof/>
          <w:color w:val="auto"/>
          <w:sz w:val="22"/>
          <w:szCs w:val="22"/>
        </w:rPr>
      </w:pPr>
      <w:r>
        <w:rPr>
          <w:noProof/>
        </w:rPr>
        <w:t>3</w:t>
      </w:r>
      <w:r w:rsidR="00837CA7">
        <w:rPr>
          <w:noProof/>
        </w:rPr>
        <w:tab/>
      </w:r>
      <w:r w:rsidR="001A2315">
        <w:rPr>
          <w:noProof/>
        </w:rPr>
        <w:t>Household Hunger Scale</w:t>
      </w:r>
      <w:r>
        <w:rPr>
          <w:noProof/>
        </w:rPr>
        <w:tab/>
      </w:r>
      <w:r>
        <w:rPr>
          <w:noProof/>
        </w:rPr>
        <w:fldChar w:fldCharType="begin"/>
      </w:r>
      <w:r>
        <w:rPr>
          <w:noProof/>
        </w:rPr>
        <w:instrText xml:space="preserve"> PAGEREF _Toc404171638 \h </w:instrText>
      </w:r>
      <w:r>
        <w:rPr>
          <w:noProof/>
        </w:rPr>
      </w:r>
      <w:r>
        <w:rPr>
          <w:noProof/>
        </w:rPr>
        <w:fldChar w:fldCharType="separate"/>
      </w:r>
      <w:r w:rsidR="00285CF2">
        <w:rPr>
          <w:noProof/>
        </w:rPr>
        <w:t>5</w:t>
      </w:r>
      <w:r>
        <w:rPr>
          <w:noProof/>
        </w:rPr>
        <w:fldChar w:fldCharType="end"/>
      </w:r>
    </w:p>
    <w:p w:rsidR="009E38AF" w:rsidRPr="009E38AF" w:rsidRDefault="0016478E" w:rsidP="009E38AF">
      <w:r>
        <w:fldChar w:fldCharType="end"/>
      </w:r>
    </w:p>
    <w:bookmarkEnd w:id="0"/>
    <w:bookmarkEnd w:id="1"/>
    <w:p w:rsidR="00103759" w:rsidRDefault="00103759">
      <w:pPr>
        <w:spacing w:after="0"/>
        <w:rPr>
          <w:rFonts w:ascii="HelveticaNeueLT Std" w:hAnsi="HelveticaNeueLT Std"/>
          <w:caps/>
          <w:color w:val="2B5A85"/>
          <w:sz w:val="28"/>
          <w:szCs w:val="26"/>
        </w:rPr>
      </w:pPr>
      <w:r>
        <w:br w:type="page"/>
      </w:r>
    </w:p>
    <w:p w:rsidR="00103759" w:rsidRPr="00290578" w:rsidRDefault="00103759" w:rsidP="00103759">
      <w:pPr>
        <w:pStyle w:val="Heading2"/>
      </w:pPr>
      <w:bookmarkStart w:id="8" w:name="_Toc404177145"/>
      <w:r w:rsidRPr="00290578">
        <w:lastRenderedPageBreak/>
        <w:t>Acronyms and Abbreviations</w:t>
      </w:r>
      <w:bookmarkEnd w:id="8"/>
    </w:p>
    <w:p w:rsidR="00103759" w:rsidRPr="00290578" w:rsidRDefault="00103759" w:rsidP="00103759">
      <w:pPr>
        <w:rPr>
          <w:rFonts w:cs="Arial"/>
          <w:szCs w:val="22"/>
        </w:rPr>
      </w:pPr>
    </w:p>
    <w:p w:rsidR="00103759" w:rsidRPr="00290578" w:rsidRDefault="00103759" w:rsidP="00103759">
      <w:pPr>
        <w:rPr>
          <w:rFonts w:cs="Arial"/>
          <w:szCs w:val="22"/>
        </w:rPr>
      </w:pPr>
      <w:r w:rsidRPr="00290578">
        <w:rPr>
          <w:rFonts w:cs="Arial"/>
          <w:szCs w:val="22"/>
        </w:rPr>
        <w:t xml:space="preserve">CSG </w:t>
      </w:r>
      <w:r w:rsidRPr="00290578">
        <w:rPr>
          <w:rFonts w:cs="Arial"/>
          <w:szCs w:val="22"/>
        </w:rPr>
        <w:tab/>
      </w:r>
      <w:r w:rsidRPr="00290578">
        <w:rPr>
          <w:rFonts w:cs="Arial"/>
          <w:szCs w:val="22"/>
        </w:rPr>
        <w:tab/>
      </w:r>
      <w:r w:rsidRPr="00290578">
        <w:rPr>
          <w:rFonts w:cs="Arial"/>
          <w:szCs w:val="22"/>
        </w:rPr>
        <w:tab/>
        <w:t>community savings group</w:t>
      </w:r>
    </w:p>
    <w:p w:rsidR="00103759" w:rsidRPr="00290578" w:rsidRDefault="00103759" w:rsidP="00103759">
      <w:pPr>
        <w:rPr>
          <w:rFonts w:cs="Arial"/>
          <w:szCs w:val="22"/>
        </w:rPr>
      </w:pPr>
      <w:r w:rsidRPr="00290578">
        <w:rPr>
          <w:rFonts w:cs="Arial"/>
          <w:szCs w:val="22"/>
        </w:rPr>
        <w:t>DHS</w:t>
      </w:r>
      <w:r w:rsidRPr="00290578">
        <w:rPr>
          <w:rFonts w:cs="Arial"/>
          <w:szCs w:val="22"/>
        </w:rPr>
        <w:tab/>
      </w:r>
      <w:r w:rsidRPr="00290578">
        <w:rPr>
          <w:rFonts w:cs="Arial"/>
          <w:szCs w:val="22"/>
        </w:rPr>
        <w:tab/>
      </w:r>
      <w:r w:rsidRPr="00290578">
        <w:rPr>
          <w:rFonts w:cs="Arial"/>
          <w:szCs w:val="22"/>
        </w:rPr>
        <w:tab/>
        <w:t>Demographic Health Survey</w:t>
      </w:r>
    </w:p>
    <w:p w:rsidR="00103759" w:rsidRPr="00290578" w:rsidRDefault="00103759" w:rsidP="00103759">
      <w:pPr>
        <w:rPr>
          <w:rFonts w:cs="Arial"/>
          <w:szCs w:val="22"/>
        </w:rPr>
      </w:pPr>
      <w:r w:rsidRPr="00290578">
        <w:rPr>
          <w:rFonts w:cs="Arial"/>
          <w:szCs w:val="22"/>
        </w:rPr>
        <w:t>FGD</w:t>
      </w:r>
      <w:r w:rsidRPr="00290578">
        <w:rPr>
          <w:rFonts w:cs="Arial"/>
          <w:szCs w:val="22"/>
        </w:rPr>
        <w:tab/>
      </w:r>
      <w:r w:rsidRPr="00290578">
        <w:rPr>
          <w:rFonts w:cs="Arial"/>
          <w:szCs w:val="22"/>
        </w:rPr>
        <w:tab/>
      </w:r>
      <w:r w:rsidRPr="00290578">
        <w:rPr>
          <w:rFonts w:cs="Arial"/>
          <w:szCs w:val="22"/>
        </w:rPr>
        <w:tab/>
        <w:t>focus group discussion</w:t>
      </w:r>
    </w:p>
    <w:p w:rsidR="00103759" w:rsidRPr="00290578" w:rsidRDefault="00103759" w:rsidP="00103759">
      <w:pPr>
        <w:rPr>
          <w:rFonts w:cs="Arial"/>
          <w:szCs w:val="22"/>
        </w:rPr>
      </w:pPr>
      <w:r w:rsidRPr="00290578">
        <w:rPr>
          <w:rFonts w:cs="Arial"/>
          <w:szCs w:val="22"/>
        </w:rPr>
        <w:t>GBV</w:t>
      </w:r>
      <w:r w:rsidRPr="00290578">
        <w:rPr>
          <w:rFonts w:cs="Arial"/>
          <w:szCs w:val="22"/>
        </w:rPr>
        <w:tab/>
      </w:r>
      <w:r w:rsidRPr="00290578">
        <w:rPr>
          <w:rFonts w:cs="Arial"/>
          <w:szCs w:val="22"/>
        </w:rPr>
        <w:tab/>
      </w:r>
      <w:r w:rsidRPr="00290578">
        <w:rPr>
          <w:rFonts w:cs="Arial"/>
          <w:szCs w:val="22"/>
        </w:rPr>
        <w:tab/>
        <w:t>gender-based violence</w:t>
      </w:r>
    </w:p>
    <w:p w:rsidR="00103759" w:rsidRPr="00290578" w:rsidRDefault="00103759" w:rsidP="00103759">
      <w:pPr>
        <w:rPr>
          <w:rFonts w:cs="Arial"/>
          <w:szCs w:val="22"/>
        </w:rPr>
      </w:pPr>
      <w:r w:rsidRPr="00290578">
        <w:rPr>
          <w:rFonts w:cs="Arial"/>
          <w:szCs w:val="22"/>
        </w:rPr>
        <w:t>HEA</w:t>
      </w:r>
      <w:r w:rsidRPr="00290578">
        <w:rPr>
          <w:rFonts w:cs="Arial"/>
          <w:szCs w:val="22"/>
        </w:rPr>
        <w:tab/>
      </w:r>
      <w:r w:rsidRPr="00290578">
        <w:rPr>
          <w:rFonts w:cs="Arial"/>
          <w:szCs w:val="22"/>
        </w:rPr>
        <w:tab/>
      </w:r>
      <w:r w:rsidRPr="00290578">
        <w:rPr>
          <w:rFonts w:cs="Arial"/>
          <w:szCs w:val="22"/>
        </w:rPr>
        <w:tab/>
        <w:t>household economic assessment</w:t>
      </w:r>
    </w:p>
    <w:p w:rsidR="00103759" w:rsidRPr="00290578" w:rsidRDefault="00103759" w:rsidP="00103759">
      <w:pPr>
        <w:rPr>
          <w:rFonts w:cs="Arial"/>
          <w:szCs w:val="22"/>
        </w:rPr>
      </w:pPr>
      <w:r w:rsidRPr="00290578">
        <w:rPr>
          <w:rFonts w:cs="Arial"/>
          <w:szCs w:val="22"/>
        </w:rPr>
        <w:t>HES</w:t>
      </w:r>
      <w:r w:rsidRPr="00290578">
        <w:rPr>
          <w:rFonts w:cs="Arial"/>
          <w:szCs w:val="22"/>
        </w:rPr>
        <w:tab/>
      </w:r>
      <w:r w:rsidRPr="00290578">
        <w:rPr>
          <w:rFonts w:cs="Arial"/>
          <w:szCs w:val="22"/>
        </w:rPr>
        <w:tab/>
      </w:r>
      <w:r w:rsidRPr="00290578">
        <w:rPr>
          <w:rFonts w:cs="Arial"/>
          <w:szCs w:val="22"/>
        </w:rPr>
        <w:tab/>
        <w:t>household economic strengthening</w:t>
      </w:r>
    </w:p>
    <w:p w:rsidR="00103759" w:rsidRPr="00290578" w:rsidRDefault="00103759" w:rsidP="00103759">
      <w:pPr>
        <w:ind w:left="2160" w:hanging="2160"/>
        <w:rPr>
          <w:rFonts w:cs="Arial"/>
          <w:szCs w:val="22"/>
        </w:rPr>
      </w:pPr>
      <w:r w:rsidRPr="00290578">
        <w:rPr>
          <w:rFonts w:cs="Arial"/>
          <w:szCs w:val="22"/>
        </w:rPr>
        <w:t>IMARISHA</w:t>
      </w:r>
      <w:r w:rsidRPr="00290578">
        <w:rPr>
          <w:rFonts w:cs="Arial"/>
          <w:szCs w:val="22"/>
        </w:rPr>
        <w:tab/>
        <w:t>Improving Multisectoral AIDS Responses to Incorporate Economic Strengthening for Households Affected by AIDS</w:t>
      </w:r>
    </w:p>
    <w:p w:rsidR="00103759" w:rsidRPr="00290578" w:rsidRDefault="00103759" w:rsidP="00103759">
      <w:pPr>
        <w:ind w:left="2160" w:hanging="2160"/>
        <w:rPr>
          <w:rFonts w:cs="Arial"/>
          <w:szCs w:val="22"/>
        </w:rPr>
      </w:pPr>
      <w:r w:rsidRPr="00290578">
        <w:rPr>
          <w:rFonts w:cs="Arial"/>
          <w:szCs w:val="22"/>
        </w:rPr>
        <w:t>LGA</w:t>
      </w:r>
      <w:r w:rsidRPr="00290578">
        <w:rPr>
          <w:rFonts w:cs="Arial"/>
          <w:szCs w:val="22"/>
        </w:rPr>
        <w:tab/>
        <w:t>local government authority</w:t>
      </w:r>
    </w:p>
    <w:p w:rsidR="00103759" w:rsidRPr="00290578" w:rsidRDefault="00103759" w:rsidP="00103759">
      <w:pPr>
        <w:ind w:left="2160" w:hanging="2160"/>
        <w:rPr>
          <w:rFonts w:cs="Arial"/>
          <w:szCs w:val="22"/>
        </w:rPr>
      </w:pPr>
      <w:proofErr w:type="gramStart"/>
      <w:r w:rsidRPr="00290578">
        <w:rPr>
          <w:rFonts w:cs="Arial"/>
          <w:szCs w:val="22"/>
        </w:rPr>
        <w:t>m-money</w:t>
      </w:r>
      <w:proofErr w:type="gramEnd"/>
      <w:r w:rsidRPr="00290578">
        <w:rPr>
          <w:rFonts w:cs="Arial"/>
          <w:szCs w:val="22"/>
        </w:rPr>
        <w:tab/>
      </w:r>
      <w:r>
        <w:rPr>
          <w:rFonts w:cs="Arial"/>
          <w:szCs w:val="22"/>
        </w:rPr>
        <w:t>m</w:t>
      </w:r>
      <w:r w:rsidRPr="00290578">
        <w:rPr>
          <w:rFonts w:cs="Arial"/>
          <w:szCs w:val="22"/>
        </w:rPr>
        <w:t>obile money</w:t>
      </w:r>
    </w:p>
    <w:p w:rsidR="00103759" w:rsidRPr="00290578" w:rsidRDefault="00103759" w:rsidP="00103759">
      <w:pPr>
        <w:tabs>
          <w:tab w:val="left" w:pos="3600"/>
        </w:tabs>
        <w:ind w:left="2160" w:hanging="2160"/>
        <w:rPr>
          <w:rFonts w:cs="Arial"/>
          <w:szCs w:val="22"/>
        </w:rPr>
      </w:pPr>
      <w:r w:rsidRPr="00290578">
        <w:rPr>
          <w:rFonts w:cs="Arial"/>
          <w:szCs w:val="22"/>
        </w:rPr>
        <w:t>MIS</w:t>
      </w:r>
      <w:r w:rsidRPr="00290578">
        <w:rPr>
          <w:rFonts w:cs="Arial"/>
          <w:szCs w:val="22"/>
        </w:rPr>
        <w:tab/>
      </w:r>
      <w:r>
        <w:rPr>
          <w:rFonts w:cs="Arial"/>
          <w:szCs w:val="22"/>
        </w:rPr>
        <w:t>management information system</w:t>
      </w:r>
    </w:p>
    <w:p w:rsidR="00103759" w:rsidRPr="00290578" w:rsidRDefault="00103759" w:rsidP="00103759">
      <w:pPr>
        <w:ind w:left="2160" w:hanging="2160"/>
        <w:rPr>
          <w:rFonts w:cs="Arial"/>
          <w:szCs w:val="22"/>
        </w:rPr>
      </w:pPr>
      <w:r w:rsidRPr="00290578">
        <w:rPr>
          <w:rFonts w:cs="Arial"/>
          <w:szCs w:val="22"/>
        </w:rPr>
        <w:t>MVC</w:t>
      </w:r>
      <w:r w:rsidRPr="00290578">
        <w:rPr>
          <w:rFonts w:cs="Arial"/>
          <w:szCs w:val="22"/>
        </w:rPr>
        <w:tab/>
      </w:r>
      <w:r>
        <w:rPr>
          <w:rFonts w:cs="Arial"/>
          <w:szCs w:val="22"/>
        </w:rPr>
        <w:t>m</w:t>
      </w:r>
      <w:r w:rsidRPr="00290578">
        <w:rPr>
          <w:rFonts w:cs="Arial"/>
          <w:szCs w:val="22"/>
        </w:rPr>
        <w:t>ost vulnerable children</w:t>
      </w:r>
    </w:p>
    <w:p w:rsidR="00103759" w:rsidRPr="00290578" w:rsidRDefault="00103759" w:rsidP="00103759">
      <w:pPr>
        <w:ind w:left="2160" w:hanging="2160"/>
        <w:rPr>
          <w:rFonts w:cs="Arial"/>
          <w:szCs w:val="22"/>
        </w:rPr>
      </w:pPr>
      <w:r w:rsidRPr="00290578">
        <w:rPr>
          <w:rFonts w:cs="Arial"/>
          <w:szCs w:val="22"/>
        </w:rPr>
        <w:t>MVCC</w:t>
      </w:r>
      <w:r w:rsidRPr="00290578">
        <w:rPr>
          <w:rFonts w:cs="Arial"/>
          <w:szCs w:val="22"/>
        </w:rPr>
        <w:tab/>
        <w:t>Most Vulnerable Children Committee</w:t>
      </w:r>
    </w:p>
    <w:p w:rsidR="00103759" w:rsidRPr="00290578" w:rsidRDefault="00103759" w:rsidP="00103759">
      <w:pPr>
        <w:tabs>
          <w:tab w:val="left" w:pos="3600"/>
        </w:tabs>
        <w:ind w:left="2160" w:hanging="2160"/>
        <w:rPr>
          <w:rFonts w:cs="Arial"/>
          <w:szCs w:val="22"/>
        </w:rPr>
      </w:pPr>
      <w:r w:rsidRPr="00290578">
        <w:rPr>
          <w:rFonts w:cs="Arial"/>
          <w:szCs w:val="22"/>
        </w:rPr>
        <w:t>NGO</w:t>
      </w:r>
      <w:r w:rsidRPr="00290578">
        <w:rPr>
          <w:rFonts w:cs="Arial"/>
          <w:szCs w:val="22"/>
        </w:rPr>
        <w:tab/>
        <w:t>nongovernmental organization</w:t>
      </w:r>
    </w:p>
    <w:p w:rsidR="00103759" w:rsidRPr="00290578" w:rsidRDefault="00103759" w:rsidP="00103759">
      <w:pPr>
        <w:ind w:left="2160" w:hanging="2160"/>
        <w:rPr>
          <w:rFonts w:cs="Arial"/>
          <w:szCs w:val="22"/>
        </w:rPr>
      </w:pPr>
      <w:r w:rsidRPr="00290578">
        <w:rPr>
          <w:rFonts w:cs="Arial"/>
          <w:szCs w:val="22"/>
        </w:rPr>
        <w:t>PEPFAR</w:t>
      </w:r>
      <w:r w:rsidRPr="00290578">
        <w:rPr>
          <w:rFonts w:cs="Arial"/>
          <w:szCs w:val="22"/>
        </w:rPr>
        <w:tab/>
        <w:t>U.S. President’s Emergency Plan for AIDS Relief</w:t>
      </w:r>
    </w:p>
    <w:p w:rsidR="00103759" w:rsidRPr="00290578" w:rsidRDefault="00103759" w:rsidP="00103759">
      <w:pPr>
        <w:ind w:left="2160" w:hanging="2160"/>
        <w:rPr>
          <w:rFonts w:cs="Arial"/>
          <w:szCs w:val="22"/>
        </w:rPr>
      </w:pPr>
      <w:r w:rsidRPr="00290578">
        <w:rPr>
          <w:rFonts w:cs="Arial"/>
          <w:szCs w:val="22"/>
        </w:rPr>
        <w:t>PT</w:t>
      </w:r>
      <w:r w:rsidRPr="00290578">
        <w:rPr>
          <w:rFonts w:cs="Arial"/>
          <w:szCs w:val="22"/>
        </w:rPr>
        <w:tab/>
        <w:t>Pamoja Tuwalee</w:t>
      </w:r>
    </w:p>
    <w:p w:rsidR="00103759" w:rsidRPr="00290578" w:rsidRDefault="00103759" w:rsidP="00103759">
      <w:pPr>
        <w:tabs>
          <w:tab w:val="left" w:pos="3600"/>
        </w:tabs>
        <w:ind w:left="2160" w:hanging="2160"/>
        <w:rPr>
          <w:rFonts w:cs="Arial"/>
          <w:szCs w:val="22"/>
        </w:rPr>
      </w:pPr>
      <w:r w:rsidRPr="00290578">
        <w:rPr>
          <w:rFonts w:cs="Arial"/>
          <w:szCs w:val="22"/>
        </w:rPr>
        <w:t>SEEP</w:t>
      </w:r>
      <w:r w:rsidRPr="00290578">
        <w:rPr>
          <w:rFonts w:cs="Arial"/>
          <w:szCs w:val="22"/>
        </w:rPr>
        <w:tab/>
        <w:t>Small Enterprise Education and Promotion</w:t>
      </w:r>
    </w:p>
    <w:p w:rsidR="00103759" w:rsidRPr="00290578" w:rsidRDefault="00103759" w:rsidP="00103759">
      <w:pPr>
        <w:ind w:left="2160" w:hanging="2160"/>
        <w:rPr>
          <w:rFonts w:cs="Arial"/>
          <w:szCs w:val="22"/>
        </w:rPr>
      </w:pPr>
      <w:r w:rsidRPr="00290578">
        <w:rPr>
          <w:rFonts w:cs="Arial"/>
          <w:szCs w:val="22"/>
        </w:rPr>
        <w:t>TASAF</w:t>
      </w:r>
      <w:r w:rsidRPr="00290578">
        <w:rPr>
          <w:rFonts w:cs="Arial"/>
          <w:szCs w:val="22"/>
        </w:rPr>
        <w:tab/>
        <w:t>Tanzania Social Action Fund</w:t>
      </w:r>
    </w:p>
    <w:p w:rsidR="00103759" w:rsidRPr="00290578" w:rsidRDefault="00103759" w:rsidP="00103759">
      <w:pPr>
        <w:ind w:left="2160" w:hanging="2160"/>
        <w:rPr>
          <w:rFonts w:cs="Arial"/>
          <w:szCs w:val="22"/>
        </w:rPr>
      </w:pPr>
      <w:r w:rsidRPr="00290578">
        <w:rPr>
          <w:rFonts w:cs="Arial"/>
          <w:szCs w:val="22"/>
        </w:rPr>
        <w:t>USAID</w:t>
      </w:r>
      <w:r w:rsidRPr="00290578">
        <w:rPr>
          <w:rFonts w:cs="Arial"/>
          <w:szCs w:val="22"/>
        </w:rPr>
        <w:tab/>
        <w:t>United States Agency for International Development</w:t>
      </w:r>
    </w:p>
    <w:p w:rsidR="00103759" w:rsidRPr="00290578" w:rsidRDefault="00103759" w:rsidP="00103759">
      <w:pPr>
        <w:ind w:left="2160" w:hanging="2160"/>
        <w:rPr>
          <w:rFonts w:cs="Arial"/>
          <w:szCs w:val="22"/>
        </w:rPr>
      </w:pPr>
      <w:r w:rsidRPr="00290578">
        <w:rPr>
          <w:rFonts w:cs="Arial"/>
          <w:szCs w:val="22"/>
        </w:rPr>
        <w:t>VEO</w:t>
      </w:r>
      <w:r w:rsidRPr="00290578">
        <w:rPr>
          <w:rFonts w:cs="Arial"/>
          <w:szCs w:val="22"/>
        </w:rPr>
        <w:tab/>
        <w:t>village executive officer</w:t>
      </w:r>
    </w:p>
    <w:p w:rsidR="00103759" w:rsidRPr="00290578" w:rsidRDefault="00103759" w:rsidP="00103759">
      <w:pPr>
        <w:tabs>
          <w:tab w:val="left" w:pos="3600"/>
        </w:tabs>
        <w:ind w:left="2160" w:hanging="2160"/>
        <w:rPr>
          <w:rFonts w:cs="Arial"/>
          <w:szCs w:val="22"/>
        </w:rPr>
      </w:pPr>
      <w:r w:rsidRPr="00290578">
        <w:rPr>
          <w:rFonts w:cs="Arial"/>
          <w:szCs w:val="22"/>
        </w:rPr>
        <w:t>WEI</w:t>
      </w:r>
      <w:r w:rsidRPr="00290578">
        <w:rPr>
          <w:rFonts w:cs="Arial"/>
          <w:szCs w:val="22"/>
        </w:rPr>
        <w:tab/>
        <w:t>World Education Inc.</w:t>
      </w:r>
    </w:p>
    <w:p w:rsidR="00790FB9" w:rsidRDefault="00790FB9" w:rsidP="00F668BE">
      <w:pPr>
        <w:pStyle w:val="Heading2"/>
        <w:sectPr w:rsidR="00790FB9" w:rsidSect="00790FB9">
          <w:headerReference w:type="even" r:id="rId16"/>
          <w:footerReference w:type="default" r:id="rId17"/>
          <w:pgSz w:w="12240" w:h="15840" w:code="1"/>
          <w:pgMar w:top="1440" w:right="1440" w:bottom="1440" w:left="1440" w:header="720" w:footer="360" w:gutter="0"/>
          <w:pgNumType w:fmt="lowerRoman" w:start="1"/>
          <w:cols w:space="720"/>
        </w:sectPr>
      </w:pPr>
    </w:p>
    <w:p w:rsidR="0052585C" w:rsidRPr="00857DF7" w:rsidRDefault="0052585C" w:rsidP="00F668BE">
      <w:pPr>
        <w:pStyle w:val="Heading2"/>
      </w:pPr>
      <w:bookmarkStart w:id="9" w:name="_Toc404177146"/>
      <w:r w:rsidRPr="00857DF7">
        <w:lastRenderedPageBreak/>
        <w:t>Executive Summary</w:t>
      </w:r>
      <w:bookmarkEnd w:id="9"/>
      <w:r w:rsidRPr="00857DF7">
        <w:t xml:space="preserve"> </w:t>
      </w:r>
    </w:p>
    <w:p w:rsidR="00521E33" w:rsidRPr="000C417E" w:rsidRDefault="000C417E" w:rsidP="00521E33">
      <w:pPr>
        <w:rPr>
          <w:rFonts w:cs="Arial"/>
        </w:rPr>
      </w:pPr>
      <w:r w:rsidRPr="00A541D0">
        <w:rPr>
          <w:rFonts w:cs="Arial"/>
        </w:rPr>
        <w:t xml:space="preserve">Community savings groups (CSGs) play an important part in </w:t>
      </w:r>
      <w:r>
        <w:rPr>
          <w:rFonts w:cs="Arial"/>
        </w:rPr>
        <w:t>Tanzania</w:t>
      </w:r>
      <w:r w:rsidRPr="00A541D0">
        <w:rPr>
          <w:rFonts w:cs="Arial"/>
        </w:rPr>
        <w:t xml:space="preserve">, allowing members to save money, borrow for both consumption and investment, and </w:t>
      </w:r>
      <w:r>
        <w:rPr>
          <w:rFonts w:cs="Arial"/>
        </w:rPr>
        <w:t>gain access to</w:t>
      </w:r>
      <w:r w:rsidRPr="00A541D0">
        <w:rPr>
          <w:rFonts w:cs="Arial"/>
        </w:rPr>
        <w:t xml:space="preserve"> </w:t>
      </w:r>
      <w:r>
        <w:rPr>
          <w:rFonts w:cs="Arial"/>
        </w:rPr>
        <w:t xml:space="preserve">emergency </w:t>
      </w:r>
      <w:r w:rsidRPr="00A541D0">
        <w:rPr>
          <w:rFonts w:cs="Arial"/>
        </w:rPr>
        <w:t>relief</w:t>
      </w:r>
      <w:r>
        <w:rPr>
          <w:rFonts w:cs="Arial"/>
        </w:rPr>
        <w:t xml:space="preserve"> through </w:t>
      </w:r>
      <w:proofErr w:type="spellStart"/>
      <w:r>
        <w:rPr>
          <w:rFonts w:cs="Arial"/>
        </w:rPr>
        <w:t>self insurance</w:t>
      </w:r>
      <w:proofErr w:type="spellEnd"/>
      <w:r>
        <w:rPr>
          <w:rFonts w:cs="Arial"/>
        </w:rPr>
        <w:t xml:space="preserve">. This paper presents the results from two studies implemented by the IMARISHA project in Tanzania.  IMARISHA is a PEPFAR/USAID funded, DAI managed technical assistance project working with most vulnerable children (MVC) and home based care (HBC) partners in Tanzania.  The first study is a review of CSGs and how they operate to benefit MVC households.  The second study is a household economic assessment across targeted MVC and HBC households in Tanzania. Data from both studies present promising results about the impact of CSGs as a resource to help the most vulnerable access financial services, increase food security, and improve access essential children’s services (e.g. education).  The studies also raise key questions about the scalability of CSGs across Tanzania and policy implications for CSG as incorporated into social protection programming.  </w:t>
      </w:r>
    </w:p>
    <w:p w:rsidR="00521E33" w:rsidRDefault="00521E33">
      <w:pPr>
        <w:spacing w:after="0"/>
      </w:pPr>
      <w:r>
        <w:br w:type="page"/>
      </w:r>
    </w:p>
    <w:p w:rsidR="00521E33" w:rsidRPr="00290578" w:rsidRDefault="00521E33" w:rsidP="00521E33">
      <w:pPr>
        <w:pStyle w:val="Heading2"/>
      </w:pPr>
      <w:bookmarkStart w:id="10" w:name="_Toc404177148"/>
      <w:r w:rsidRPr="00290578">
        <w:lastRenderedPageBreak/>
        <w:t>Introduction</w:t>
      </w:r>
      <w:bookmarkEnd w:id="10"/>
    </w:p>
    <w:p w:rsidR="00521E33" w:rsidRPr="00290578" w:rsidRDefault="00521E33" w:rsidP="00521E33">
      <w:pPr>
        <w:rPr>
          <w:rFonts w:cs="Arial"/>
          <w:szCs w:val="22"/>
        </w:rPr>
      </w:pPr>
      <w:r w:rsidRPr="00290578">
        <w:rPr>
          <w:rFonts w:cs="Arial"/>
          <w:szCs w:val="22"/>
        </w:rPr>
        <w:t>Community savings groups (CSGs) play an important role in Tanzania, allowing members to save money, borrowing for both consumption and investment, and providing emergency relief. CSGs are flexible, member owned and managed, providing needed services where banks and other financial service providers do not operate. Financial Sector Deepening Tanzania estimates that 10.6 million Tanzanians access financial services from informal mechanisms like CSGs. For government, donors, and development practitioners interested in increasing financial access to include the poorest Tanzanians, CSGs have become an important mechanism to extend social protection toward livelihood opportunities for the most vulnerable.</w:t>
      </w:r>
    </w:p>
    <w:p w:rsidR="00521E33" w:rsidRPr="00290578" w:rsidRDefault="00521E33" w:rsidP="00521E33">
      <w:pPr>
        <w:rPr>
          <w:rFonts w:cs="Arial"/>
          <w:szCs w:val="22"/>
        </w:rPr>
      </w:pPr>
      <w:r w:rsidRPr="00290578">
        <w:rPr>
          <w:rFonts w:cs="Arial"/>
          <w:szCs w:val="22"/>
        </w:rPr>
        <w:t xml:space="preserve">This paper focuses on the efforts of Pamoja Tuwalee (PT), a United States Agency for International Development (USAID)/U.S. President’s Emergency Plan for AIDS Relief (PEPFAR)-supported project implemented by four nongovernmental organizations (NGOs) to use CSGs to provide financial and other services to caregivers of most vulnerable children (MVC) as a means to improve outcomes. Underlying the PT design is a theory of change that assumes: </w:t>
      </w:r>
    </w:p>
    <w:p w:rsidR="00521E33" w:rsidRPr="00521E33" w:rsidRDefault="00521E33" w:rsidP="00521E33">
      <w:pPr>
        <w:pStyle w:val="Bullet1"/>
      </w:pPr>
      <w:r w:rsidRPr="00521E33">
        <w:t xml:space="preserve">MVC caregivers—if they access financial services and acquire basic financial capabilities—are better able to provide care and access other health and education services. </w:t>
      </w:r>
    </w:p>
    <w:p w:rsidR="00521E33" w:rsidRPr="00521E33" w:rsidRDefault="00521E33" w:rsidP="00521E33">
      <w:pPr>
        <w:pStyle w:val="Bullet1"/>
      </w:pPr>
      <w:r w:rsidRPr="00521E33">
        <w:t xml:space="preserve">Community volunteers—if they have the right training and motivation—they can facilitate sustainable support of CSGs after the project ends. </w:t>
      </w:r>
    </w:p>
    <w:p w:rsidR="00521E33" w:rsidRPr="00521E33" w:rsidRDefault="00521E33" w:rsidP="00521E33">
      <w:pPr>
        <w:pStyle w:val="BulletLast"/>
      </w:pPr>
      <w:r w:rsidRPr="00521E33">
        <w:t>CSGs can provide community leaders (suc</w:t>
      </w:r>
      <w:r w:rsidR="009667F2">
        <w:t>h as village executive officers</w:t>
      </w:r>
      <w:r w:rsidRPr="00521E33">
        <w:t xml:space="preserve"> [VEOs] and Most Vulnerable Children Committees [MVCCs]) with entry points to engage households for other services or benefits. </w:t>
      </w:r>
    </w:p>
    <w:p w:rsidR="00521E33" w:rsidRPr="00290578" w:rsidRDefault="00521E33" w:rsidP="00521E33">
      <w:pPr>
        <w:rPr>
          <w:rFonts w:cs="Arial"/>
          <w:szCs w:val="22"/>
        </w:rPr>
      </w:pPr>
      <w:r w:rsidRPr="00290578">
        <w:rPr>
          <w:rFonts w:cs="Arial"/>
          <w:szCs w:val="22"/>
        </w:rPr>
        <w:t>This paper draws on the results of two recently completed studies led by DAI under Improving Multisectoral AIDS Responses to Incorporate Economic Strengthening for Households Affected by AIDS (IMARISHA), a USAID-funded project that supported PT partners in household economic strengthening (HES). Both studies aimed to increase the evidence base for HES, and the role it plays in improving health and social outcomes for vulnerable Tanzanians.</w:t>
      </w:r>
    </w:p>
    <w:p w:rsidR="00521E33" w:rsidRPr="00290578" w:rsidRDefault="00521E33" w:rsidP="00521E33">
      <w:pPr>
        <w:pStyle w:val="Heading2"/>
      </w:pPr>
      <w:bookmarkStart w:id="11" w:name="_Toc404177149"/>
      <w:r w:rsidRPr="00290578">
        <w:t>Research Scope and Methodology</w:t>
      </w:r>
      <w:bookmarkEnd w:id="11"/>
    </w:p>
    <w:p w:rsidR="00521E33" w:rsidRPr="00290578" w:rsidRDefault="00521E33" w:rsidP="00521E33">
      <w:r w:rsidRPr="00290578">
        <w:t xml:space="preserve">This paper combines the findings from two studies completed by IMARISHA in 2014, one qualitative, the other mixed methodology:  </w:t>
      </w:r>
      <w:r w:rsidRPr="00290578">
        <w:rPr>
          <w:i/>
        </w:rPr>
        <w:t>Pamoja Tuwalee Community Savings Group Study:  A Review of Practice and Innovations in Community Savings Groups aimed at Supporting Most Vulnerable Children in Tanzania</w:t>
      </w:r>
      <w:r w:rsidRPr="00290578">
        <w:t xml:space="preserve"> and </w:t>
      </w:r>
      <w:r w:rsidRPr="00290578">
        <w:rPr>
          <w:i/>
        </w:rPr>
        <w:t xml:space="preserve">IMARISHA </w:t>
      </w:r>
      <w:proofErr w:type="spellStart"/>
      <w:r w:rsidRPr="00290578">
        <w:rPr>
          <w:i/>
        </w:rPr>
        <w:t>Endline</w:t>
      </w:r>
      <w:proofErr w:type="spellEnd"/>
      <w:r w:rsidRPr="00290578">
        <w:rPr>
          <w:i/>
        </w:rPr>
        <w:t xml:space="preserve"> Household Economic Assessment (HEA) 2014.</w:t>
      </w:r>
      <w:r w:rsidRPr="00290578">
        <w:t xml:space="preserve"> </w:t>
      </w:r>
    </w:p>
    <w:p w:rsidR="00521E33" w:rsidRPr="00290578" w:rsidRDefault="00521E33" w:rsidP="00521E33">
      <w:pPr>
        <w:rPr>
          <w:rFonts w:cs="Arial"/>
          <w:szCs w:val="22"/>
        </w:rPr>
      </w:pPr>
      <w:r w:rsidRPr="00290578">
        <w:rPr>
          <w:rFonts w:cs="Arial"/>
          <w:szCs w:val="22"/>
        </w:rPr>
        <w:t xml:space="preserve">The PT study was undertaken between September 2013 and January 2014, and was a joint initiative led by DAI IMARISHA with PT partners </w:t>
      </w:r>
      <w:proofErr w:type="spellStart"/>
      <w:r w:rsidRPr="00290578">
        <w:rPr>
          <w:rFonts w:cs="Arial"/>
          <w:szCs w:val="22"/>
        </w:rPr>
        <w:t>Africare</w:t>
      </w:r>
      <w:proofErr w:type="spellEnd"/>
      <w:r w:rsidRPr="00290578">
        <w:rPr>
          <w:rFonts w:cs="Arial"/>
          <w:szCs w:val="22"/>
        </w:rPr>
        <w:t>, Pact, World Education Inc. (WEI), and FHI 360. The study aimed to:</w:t>
      </w:r>
    </w:p>
    <w:p w:rsidR="00521E33" w:rsidRPr="00290578" w:rsidRDefault="00521E33" w:rsidP="00521E33">
      <w:pPr>
        <w:pStyle w:val="Bullet1"/>
      </w:pPr>
      <w:r w:rsidRPr="00290578">
        <w:t>Document nuances and programmatic attributes of different CSG models employed by PT partners, highlighting best practices in reaching MVC households.</w:t>
      </w:r>
    </w:p>
    <w:p w:rsidR="00521E33" w:rsidRPr="00290578" w:rsidRDefault="00521E33" w:rsidP="00521E33">
      <w:pPr>
        <w:pStyle w:val="Bullet1"/>
      </w:pPr>
      <w:r w:rsidRPr="00290578">
        <w:t>Illustrate successes and challenges of reaching MVC households, using the CSG model.</w:t>
      </w:r>
    </w:p>
    <w:p w:rsidR="00521E33" w:rsidRPr="00290578" w:rsidRDefault="00521E33" w:rsidP="00521E33">
      <w:pPr>
        <w:pStyle w:val="Bullet1"/>
      </w:pPr>
      <w:r w:rsidRPr="00290578">
        <w:t>Share and analyze programmatic adaptations that have been adopted to address constraints in reaching the most vulnerable.</w:t>
      </w:r>
    </w:p>
    <w:p w:rsidR="00521E33" w:rsidRPr="00290578" w:rsidRDefault="00521E33" w:rsidP="00521E33">
      <w:pPr>
        <w:pStyle w:val="Bullet1"/>
      </w:pPr>
      <w:r w:rsidRPr="00290578">
        <w:t xml:space="preserve">Provide background on how these savings programs operate in the context of other informal savings programs, such as village community banks. </w:t>
      </w:r>
    </w:p>
    <w:p w:rsidR="00521E33" w:rsidRPr="00290578" w:rsidRDefault="00521E33" w:rsidP="00521E33">
      <w:pPr>
        <w:pStyle w:val="Bullet1"/>
      </w:pPr>
      <w:r w:rsidRPr="00290578">
        <w:t xml:space="preserve">Showcase case studies. </w:t>
      </w:r>
    </w:p>
    <w:p w:rsidR="00521E33" w:rsidRPr="00290578" w:rsidRDefault="00521E33" w:rsidP="00521E33">
      <w:pPr>
        <w:pStyle w:val="BulletLast"/>
      </w:pPr>
      <w:r w:rsidRPr="00290578">
        <w:lastRenderedPageBreak/>
        <w:t>Highlight areas for further research, assessment, and technical assistance.</w:t>
      </w:r>
    </w:p>
    <w:p w:rsidR="00521E33" w:rsidRPr="00290578" w:rsidRDefault="00521E33" w:rsidP="00521E33">
      <w:pPr>
        <w:rPr>
          <w:rFonts w:cs="Arial"/>
          <w:szCs w:val="22"/>
        </w:rPr>
      </w:pPr>
      <w:r w:rsidRPr="00290578">
        <w:rPr>
          <w:rFonts w:cs="Arial"/>
          <w:szCs w:val="22"/>
        </w:rPr>
        <w:t>From inception, the qualitative study was designed to be a collaborative process. The methodology was mapped out in a consultative meeting with partners, DAI, and consultant Brett Matthews (</w:t>
      </w:r>
      <w:proofErr w:type="spellStart"/>
      <w:r w:rsidRPr="00290578">
        <w:rPr>
          <w:rFonts w:cs="Arial"/>
          <w:szCs w:val="22"/>
        </w:rPr>
        <w:t>Mathwood</w:t>
      </w:r>
      <w:proofErr w:type="spellEnd"/>
      <w:r w:rsidRPr="00290578">
        <w:rPr>
          <w:rFonts w:cs="Arial"/>
          <w:szCs w:val="22"/>
        </w:rPr>
        <w:t xml:space="preserve"> Consulting).The study site included eight regions of Tanzania: </w:t>
      </w:r>
      <w:proofErr w:type="spellStart"/>
      <w:r w:rsidRPr="00290578">
        <w:rPr>
          <w:rFonts w:cs="Arial"/>
          <w:szCs w:val="22"/>
        </w:rPr>
        <w:t>Kagera</w:t>
      </w:r>
      <w:proofErr w:type="spellEnd"/>
      <w:r w:rsidRPr="00290578">
        <w:rPr>
          <w:rFonts w:cs="Arial"/>
          <w:szCs w:val="22"/>
        </w:rPr>
        <w:t xml:space="preserve">, Mara, Arusha, </w:t>
      </w:r>
      <w:proofErr w:type="spellStart"/>
      <w:r w:rsidRPr="00290578">
        <w:rPr>
          <w:rFonts w:cs="Arial"/>
          <w:szCs w:val="22"/>
        </w:rPr>
        <w:t>Tanga</w:t>
      </w:r>
      <w:proofErr w:type="spellEnd"/>
      <w:r w:rsidRPr="00290578">
        <w:rPr>
          <w:rFonts w:cs="Arial"/>
          <w:szCs w:val="22"/>
        </w:rPr>
        <w:t xml:space="preserve">, Iringa, </w:t>
      </w:r>
      <w:proofErr w:type="spellStart"/>
      <w:r w:rsidRPr="00290578">
        <w:rPr>
          <w:rFonts w:cs="Arial"/>
          <w:szCs w:val="22"/>
        </w:rPr>
        <w:t>Morogoro</w:t>
      </w:r>
      <w:proofErr w:type="spellEnd"/>
      <w:r w:rsidRPr="00290578">
        <w:rPr>
          <w:rFonts w:cs="Arial"/>
          <w:szCs w:val="22"/>
        </w:rPr>
        <w:t>, Dodoma, and Zanzibar (</w:t>
      </w:r>
      <w:proofErr w:type="spellStart"/>
      <w:r w:rsidRPr="00290578">
        <w:rPr>
          <w:rFonts w:cs="Arial"/>
          <w:szCs w:val="22"/>
        </w:rPr>
        <w:t>Unguja</w:t>
      </w:r>
      <w:proofErr w:type="spellEnd"/>
      <w:r w:rsidRPr="00290578">
        <w:rPr>
          <w:rFonts w:cs="Arial"/>
          <w:szCs w:val="22"/>
        </w:rPr>
        <w:t xml:space="preserve">). Interview and focus group discussion (FGD) tools were tested in two additional locations: Dar </w:t>
      </w:r>
      <w:proofErr w:type="spellStart"/>
      <w:r w:rsidRPr="00290578">
        <w:rPr>
          <w:rFonts w:cs="Arial"/>
          <w:szCs w:val="22"/>
        </w:rPr>
        <w:t>es</w:t>
      </w:r>
      <w:proofErr w:type="spellEnd"/>
      <w:r w:rsidRPr="00290578">
        <w:rPr>
          <w:rFonts w:cs="Arial"/>
          <w:szCs w:val="22"/>
        </w:rPr>
        <w:t xml:space="preserve"> Salaam and </w:t>
      </w:r>
      <w:proofErr w:type="spellStart"/>
      <w:r w:rsidRPr="00290578">
        <w:rPr>
          <w:rFonts w:cs="Arial"/>
          <w:szCs w:val="22"/>
        </w:rPr>
        <w:t>Mwanza</w:t>
      </w:r>
      <w:proofErr w:type="spellEnd"/>
      <w:r w:rsidRPr="00290578">
        <w:rPr>
          <w:rFonts w:cs="Arial"/>
          <w:szCs w:val="22"/>
        </w:rPr>
        <w:t xml:space="preserve">; 138 separate interviews, observations, and FGDs were conducted with PT partner staff, sub-partner staff, volunteers, village leaders, caregivers and non-caregivers, and members of saving groups. The sampling for the savings study was randomized. IMARISHA staff led the data collection, engaging PT partner staff to conduct local interviews with CSGs, but collecting data only from sites not affiliated with their organizations. </w:t>
      </w:r>
    </w:p>
    <w:p w:rsidR="00521E33" w:rsidRPr="00290578" w:rsidRDefault="00521E33" w:rsidP="00521E33">
      <w:pPr>
        <w:rPr>
          <w:rFonts w:cs="Arial"/>
          <w:szCs w:val="22"/>
        </w:rPr>
      </w:pPr>
      <w:r w:rsidRPr="00290578">
        <w:rPr>
          <w:rFonts w:cs="Arial"/>
          <w:szCs w:val="22"/>
        </w:rPr>
        <w:t xml:space="preserve">The second study, IMARISHA </w:t>
      </w:r>
      <w:proofErr w:type="spellStart"/>
      <w:r w:rsidRPr="00290578">
        <w:rPr>
          <w:rFonts w:cs="Arial"/>
          <w:szCs w:val="22"/>
        </w:rPr>
        <w:t>endline</w:t>
      </w:r>
      <w:proofErr w:type="spellEnd"/>
      <w:r w:rsidRPr="00290578">
        <w:rPr>
          <w:rFonts w:cs="Arial"/>
          <w:szCs w:val="22"/>
        </w:rPr>
        <w:t xml:space="preserve"> HEA, was a follow-up to the initial HEA conducted by DAI in November and December 2011. The IMARISHA HEA is a household-based livelihoods framework used to understand the economic context, vulnerabilities, and potential resilience of HIV-affected households. It is a cross-sectional, mixed methods household assessment administered by trained enumerators using a structured questionnaire, as well as FGDs. IMARISHA used a purposive, partially randomized sampling methodology among program beneficiaries. IMARISHA adapted the HEA tool developed by Save the Children UK for HIV and MVC households; DAI has used a similar tool in several other HIV programs specifically targeting poor, HIV-affected households. The adapted 124-question survey includes a variety of non-livelihood questions, such as Food and Nutrition Technical Assistance II Project household hunger scale questions on dietary diversity, health, and women’s empowerment; questions from the Tanzanian Demographic Health Survey (DHS); child basic needs questions; and questions used in Tanzania for the </w:t>
      </w:r>
      <w:proofErr w:type="spellStart"/>
      <w:r w:rsidRPr="00290578">
        <w:rPr>
          <w:rFonts w:cs="Arial"/>
          <w:szCs w:val="22"/>
        </w:rPr>
        <w:t>FinScope</w:t>
      </w:r>
      <w:proofErr w:type="spellEnd"/>
      <w:r w:rsidRPr="00290578">
        <w:rPr>
          <w:rFonts w:cs="Arial"/>
          <w:szCs w:val="22"/>
        </w:rPr>
        <w:t xml:space="preserve"> survey, which queries financial service access. IMARISHA shared the survey instrument and solicited comments and feedback from PEPFAR partner leadership and M&amp;E staff prior to rollout to improve effectiveness. </w:t>
      </w:r>
    </w:p>
    <w:p w:rsidR="00521E33" w:rsidRPr="00290578" w:rsidRDefault="00521E33" w:rsidP="00521E33">
      <w:pPr>
        <w:rPr>
          <w:rFonts w:cs="Arial"/>
          <w:szCs w:val="22"/>
        </w:rPr>
      </w:pPr>
      <w:r w:rsidRPr="00290578">
        <w:rPr>
          <w:rFonts w:cs="Arial"/>
          <w:szCs w:val="22"/>
        </w:rPr>
        <w:t xml:space="preserve">As with the initial HEA, IMARISHA used </w:t>
      </w:r>
      <w:proofErr w:type="spellStart"/>
      <w:r w:rsidRPr="00290578">
        <w:rPr>
          <w:rFonts w:cs="Arial"/>
          <w:szCs w:val="22"/>
        </w:rPr>
        <w:t>EpiInfo</w:t>
      </w:r>
      <w:proofErr w:type="spellEnd"/>
      <w:r w:rsidRPr="00290578">
        <w:rPr>
          <w:rFonts w:cs="Arial"/>
          <w:szCs w:val="22"/>
        </w:rPr>
        <w:t xml:space="preserve"> for primary data analysis. Statistical comparisons between the initial HEA and </w:t>
      </w:r>
      <w:proofErr w:type="spellStart"/>
      <w:r w:rsidRPr="00290578">
        <w:rPr>
          <w:rFonts w:cs="Arial"/>
          <w:szCs w:val="22"/>
        </w:rPr>
        <w:t>endline</w:t>
      </w:r>
      <w:proofErr w:type="spellEnd"/>
      <w:r w:rsidRPr="00290578">
        <w:rPr>
          <w:rFonts w:cs="Arial"/>
          <w:szCs w:val="22"/>
        </w:rPr>
        <w:t xml:space="preserve"> HEA were conducted using inferential statistical tools, determining p-values, odds ratio calculations, and differences in means calculations. The data analysis process started immediately after the data entering and cleaning exercise in late June 2014. IMARISHA compared data results with other Tanzania household surveys, namely, the 2010 Tanzania DHS, 2012 Household Budget Survey, and 2007 and 2013 </w:t>
      </w:r>
      <w:proofErr w:type="spellStart"/>
      <w:r w:rsidRPr="00290578">
        <w:rPr>
          <w:rFonts w:cs="Arial"/>
          <w:szCs w:val="22"/>
        </w:rPr>
        <w:t>FinScope</w:t>
      </w:r>
      <w:proofErr w:type="spellEnd"/>
      <w:r w:rsidRPr="00290578">
        <w:rPr>
          <w:rFonts w:cs="Arial"/>
          <w:szCs w:val="22"/>
        </w:rPr>
        <w:t xml:space="preserve"> surveys conducted by Financial Sector Deepening Tanzania that analyze access to financial services in Tanzania. IMARISHA, in conjunction with its partners, also conducted FGDs to complement quantitative survey data and better understand the economic and livelihood challenges confronting households, as well as how households view and engage with resources. </w:t>
      </w:r>
    </w:p>
    <w:p w:rsidR="00521E33" w:rsidRPr="00290578" w:rsidRDefault="00521E33" w:rsidP="00285CF2">
      <w:pPr>
        <w:pStyle w:val="Heading3"/>
      </w:pPr>
      <w:bookmarkStart w:id="12" w:name="_Toc404177150"/>
      <w:r w:rsidRPr="00290578">
        <w:t>Limitations</w:t>
      </w:r>
      <w:bookmarkEnd w:id="12"/>
    </w:p>
    <w:p w:rsidR="00521E33" w:rsidRPr="00290578" w:rsidRDefault="00521E33" w:rsidP="00521E33">
      <w:pPr>
        <w:rPr>
          <w:rFonts w:cs="Arial"/>
          <w:szCs w:val="22"/>
        </w:rPr>
      </w:pPr>
      <w:r w:rsidRPr="00290578">
        <w:rPr>
          <w:rFonts w:cs="Arial"/>
          <w:szCs w:val="22"/>
        </w:rPr>
        <w:t xml:space="preserve">Both studies have limitations. In the case of the PT savings study, one of the features of the study—that it was a learning exercise—is also a key limitation. PT and IMARISHA staff members (not external researchers) were involved in data collection, introducing potential bias to the study. Data collectors used the same randomized process and questionnaires across all survey regions, with the aim of collecting comparable data. Qualitative data may not represent the reality in all savings groups, but are important voices to add to ongoing learning. Additionally, the scope of interviews and FGDs was limited: data collection was done in only 8 of the 22 regions where partners work. </w:t>
      </w:r>
    </w:p>
    <w:p w:rsidR="00521E33" w:rsidRPr="00290578" w:rsidRDefault="00521E33" w:rsidP="00521E33">
      <w:pPr>
        <w:rPr>
          <w:rFonts w:cs="Arial"/>
          <w:szCs w:val="22"/>
        </w:rPr>
      </w:pPr>
      <w:r w:rsidRPr="00290578">
        <w:rPr>
          <w:rFonts w:cs="Arial"/>
          <w:szCs w:val="22"/>
        </w:rPr>
        <w:t xml:space="preserve">The </w:t>
      </w:r>
      <w:proofErr w:type="spellStart"/>
      <w:r w:rsidRPr="00290578">
        <w:rPr>
          <w:rFonts w:cs="Arial"/>
          <w:szCs w:val="22"/>
        </w:rPr>
        <w:t>endline</w:t>
      </w:r>
      <w:proofErr w:type="spellEnd"/>
      <w:r w:rsidRPr="00290578">
        <w:rPr>
          <w:rFonts w:cs="Arial"/>
          <w:szCs w:val="22"/>
        </w:rPr>
        <w:t xml:space="preserve"> HEA used more purposive rather than fully randomized sampling with each PEPFAR partner, which could have potentially skewed the results. As a way to further engage </w:t>
      </w:r>
      <w:r w:rsidRPr="00290578">
        <w:rPr>
          <w:rFonts w:cs="Arial"/>
          <w:szCs w:val="22"/>
        </w:rPr>
        <w:lastRenderedPageBreak/>
        <w:t xml:space="preserve">PEPFAR partners in data ownership and results and reduce costs, IMARISHA trained partner staff to collect data rather than use external enumerators. The survey instrument was not designed to measure gender disparities or intra-household resource use and allocation. Despite the use of previously validated questions and careful review of questions for clarity prior to administering the survey, several of the questions remained complex and resulted in incomplete data points. For example, the number of responses and structure of the questions within the instrument limited the analysis of linkages between children’s education access and household economic status. There was also potential for data transcription error. </w:t>
      </w:r>
    </w:p>
    <w:p w:rsidR="00521E33" w:rsidRPr="00290578" w:rsidRDefault="00521E33" w:rsidP="005B0F75">
      <w:pPr>
        <w:pStyle w:val="Heading2"/>
      </w:pPr>
      <w:bookmarkStart w:id="13" w:name="_Toc404177151"/>
      <w:r w:rsidRPr="00290578">
        <w:t>Key Findings</w:t>
      </w:r>
      <w:bookmarkEnd w:id="13"/>
    </w:p>
    <w:p w:rsidR="00521E33" w:rsidRPr="00290578" w:rsidRDefault="00521E33" w:rsidP="00521E33">
      <w:pPr>
        <w:pStyle w:val="ListParagraph"/>
        <w:spacing w:after="120" w:line="240" w:lineRule="auto"/>
        <w:ind w:left="0"/>
        <w:rPr>
          <w:rFonts w:ascii="Arial" w:hAnsi="Arial" w:cs="Arial"/>
        </w:rPr>
      </w:pPr>
      <w:r w:rsidRPr="00290578">
        <w:rPr>
          <w:rFonts w:ascii="Arial" w:hAnsi="Arial" w:cs="Arial"/>
        </w:rPr>
        <w:t xml:space="preserve">PT began in 2010, with the aim to ensure community-led delivery of comprehensive packages of health and social services for MVC and their households; among these services, CSGs are a key component to improve livelihoods. Starting in 2011, DAI IMARISHA worked with several PT partners to build capacity of staff and volunteers to create MVC-focused CSGs. One partner, Pact, promoted its own savings methodology, WORTH, which has been rolled out in many countries, including Tanzania. CSGs aimed to help MVC households build and protect assets, learn basic money management, and smooth consumption. All PT partners internalized CSG methodologies, often tailoring them in name and practice and incorporating their own innovations. They also used CSGs to provide non-financial services, including literacy; parenting skills; and HIV, gender-based violence (GBV), and child protection messaging to meet broader goals. In absence of other government-led safety net programs, CSGs offered the potential to reach MVC households. The commonalities and differences of these savings methodologies are presented in Annex </w:t>
      </w:r>
      <w:r w:rsidR="00103759">
        <w:rPr>
          <w:rFonts w:ascii="Arial" w:hAnsi="Arial" w:cs="Arial"/>
        </w:rPr>
        <w:t>1</w:t>
      </w:r>
      <w:r w:rsidRPr="00290578">
        <w:rPr>
          <w:rFonts w:ascii="Arial" w:hAnsi="Arial" w:cs="Arial"/>
        </w:rPr>
        <w:t xml:space="preserve">. </w:t>
      </w:r>
    </w:p>
    <w:p w:rsidR="00521E33" w:rsidRPr="00290578" w:rsidRDefault="00521E33" w:rsidP="00521E33">
      <w:pPr>
        <w:pStyle w:val="ListParagraph"/>
        <w:spacing w:after="120" w:line="240" w:lineRule="auto"/>
        <w:ind w:left="0"/>
        <w:rPr>
          <w:rFonts w:ascii="Arial" w:hAnsi="Arial" w:cs="Arial"/>
        </w:rPr>
      </w:pPr>
    </w:p>
    <w:p w:rsidR="00521E33" w:rsidRPr="00290578" w:rsidRDefault="00521E33" w:rsidP="00521E33">
      <w:pPr>
        <w:pStyle w:val="ListParagraph"/>
        <w:spacing w:after="120" w:line="240" w:lineRule="auto"/>
        <w:ind w:left="0"/>
        <w:rPr>
          <w:rFonts w:ascii="Arial" w:hAnsi="Arial" w:cs="Arial"/>
        </w:rPr>
      </w:pPr>
      <w:bookmarkStart w:id="14" w:name="_Toc393363846"/>
      <w:r w:rsidRPr="00290578">
        <w:rPr>
          <w:rFonts w:ascii="Arial" w:hAnsi="Arial" w:cs="Arial"/>
        </w:rPr>
        <w:t xml:space="preserve">PT has </w:t>
      </w:r>
      <w:r w:rsidR="00857BF8">
        <w:rPr>
          <w:rFonts w:ascii="Arial" w:hAnsi="Arial" w:cs="Arial"/>
        </w:rPr>
        <w:t>facilitated 81,644 MVC households</w:t>
      </w:r>
      <w:r w:rsidRPr="00290578">
        <w:rPr>
          <w:rFonts w:ascii="Arial" w:hAnsi="Arial" w:cs="Arial"/>
        </w:rPr>
        <w:t xml:space="preserve"> </w:t>
      </w:r>
      <w:r w:rsidR="00857BF8">
        <w:rPr>
          <w:rFonts w:ascii="Arial" w:hAnsi="Arial" w:cs="Arial"/>
        </w:rPr>
        <w:t>into</w:t>
      </w:r>
      <w:r w:rsidRPr="00290578">
        <w:rPr>
          <w:rFonts w:ascii="Arial" w:hAnsi="Arial" w:cs="Arial"/>
        </w:rPr>
        <w:t xml:space="preserve"> </w:t>
      </w:r>
      <w:r w:rsidR="00857BF8">
        <w:rPr>
          <w:rFonts w:ascii="Arial" w:hAnsi="Arial" w:cs="Arial"/>
        </w:rPr>
        <w:t>5,190</w:t>
      </w:r>
      <w:r w:rsidRPr="00290578">
        <w:rPr>
          <w:rFonts w:ascii="Arial" w:hAnsi="Arial" w:cs="Arial"/>
        </w:rPr>
        <w:t xml:space="preserve"> CSGs in 22 regions of Tanzania. Statistics by partner are provided in Table 1.</w:t>
      </w:r>
    </w:p>
    <w:p w:rsidR="00021FAC" w:rsidRPr="00290578" w:rsidRDefault="00521E33" w:rsidP="005B0F75">
      <w:pPr>
        <w:pStyle w:val="TableTitle"/>
      </w:pPr>
      <w:bookmarkStart w:id="15" w:name="_Toc404171840"/>
      <w:r w:rsidRPr="00290578">
        <w:t>Table 1: PT Membership Statistics</w:t>
      </w:r>
      <w:bookmarkEnd w:id="14"/>
      <w:r w:rsidR="00021FAC" w:rsidRPr="00290578">
        <w:rPr>
          <w:rStyle w:val="FootnoteReference"/>
          <w:szCs w:val="22"/>
        </w:rPr>
        <w:footnoteReference w:id="1"/>
      </w:r>
      <w:bookmarkEnd w:id="15"/>
    </w:p>
    <w:tbl>
      <w:tblPr>
        <w:tblStyle w:val="TableGrid"/>
        <w:tblW w:w="9018" w:type="dxa"/>
        <w:tblLayout w:type="fixed"/>
        <w:tblLook w:val="04A0" w:firstRow="1" w:lastRow="0" w:firstColumn="1" w:lastColumn="0" w:noHBand="0" w:noVBand="1"/>
      </w:tblPr>
      <w:tblGrid>
        <w:gridCol w:w="1098"/>
        <w:gridCol w:w="1325"/>
        <w:gridCol w:w="1080"/>
        <w:gridCol w:w="1742"/>
        <w:gridCol w:w="1080"/>
        <w:gridCol w:w="1260"/>
        <w:gridCol w:w="1433"/>
      </w:tblGrid>
      <w:tr w:rsidR="00021FAC" w:rsidRPr="005B0F75" w:rsidTr="008B41D1">
        <w:trPr>
          <w:cnfStyle w:val="100000000000" w:firstRow="1" w:lastRow="0" w:firstColumn="0" w:lastColumn="0" w:oddVBand="0" w:evenVBand="0" w:oddHBand="0" w:evenHBand="0" w:firstRowFirstColumn="0" w:firstRowLastColumn="0" w:lastRowFirstColumn="0" w:lastRowLastColumn="0"/>
        </w:trPr>
        <w:tc>
          <w:tcPr>
            <w:tcW w:w="1098" w:type="dxa"/>
            <w:hideMark/>
          </w:tcPr>
          <w:p w:rsidR="00021FAC" w:rsidRPr="005B0F75" w:rsidRDefault="00021FAC" w:rsidP="005B0F75">
            <w:pPr>
              <w:pStyle w:val="TableText"/>
            </w:pPr>
            <w:r w:rsidRPr="005B0F75">
              <w:t>PT Partner</w:t>
            </w:r>
          </w:p>
        </w:tc>
        <w:tc>
          <w:tcPr>
            <w:tcW w:w="1325" w:type="dxa"/>
            <w:hideMark/>
          </w:tcPr>
          <w:p w:rsidR="00021FAC" w:rsidRPr="005B0F75" w:rsidRDefault="00021FAC" w:rsidP="008B41D1">
            <w:pPr>
              <w:pStyle w:val="TableText"/>
              <w:jc w:val="center"/>
            </w:pPr>
            <w:r w:rsidRPr="005B0F75">
              <w:t>Total MVC Households Involved in CSGs</w:t>
            </w:r>
          </w:p>
        </w:tc>
        <w:tc>
          <w:tcPr>
            <w:tcW w:w="1080" w:type="dxa"/>
            <w:hideMark/>
          </w:tcPr>
          <w:p w:rsidR="00021FAC" w:rsidRPr="005B0F75" w:rsidRDefault="00021FAC" w:rsidP="008B41D1">
            <w:pPr>
              <w:pStyle w:val="TableText"/>
              <w:jc w:val="center"/>
            </w:pPr>
            <w:r w:rsidRPr="005B0F75">
              <w:t>Total Number of Savings Groups</w:t>
            </w:r>
          </w:p>
        </w:tc>
        <w:tc>
          <w:tcPr>
            <w:tcW w:w="1742" w:type="dxa"/>
            <w:hideMark/>
          </w:tcPr>
          <w:p w:rsidR="00021FAC" w:rsidRPr="005B0F75" w:rsidRDefault="00021FAC" w:rsidP="008B41D1">
            <w:pPr>
              <w:pStyle w:val="TableText"/>
              <w:jc w:val="center"/>
            </w:pPr>
            <w:r w:rsidRPr="005B0F75">
              <w:t>Total Caregivers, Youths, or MVCC Members Involved in CSGs</w:t>
            </w:r>
          </w:p>
        </w:tc>
        <w:tc>
          <w:tcPr>
            <w:tcW w:w="1080" w:type="dxa"/>
            <w:hideMark/>
          </w:tcPr>
          <w:p w:rsidR="00021FAC" w:rsidRPr="005B0F75" w:rsidRDefault="00021FAC" w:rsidP="008B41D1">
            <w:pPr>
              <w:pStyle w:val="TableText"/>
              <w:jc w:val="center"/>
            </w:pPr>
            <w:r w:rsidRPr="005B0F75">
              <w:t>Total CSG Members</w:t>
            </w:r>
          </w:p>
        </w:tc>
        <w:tc>
          <w:tcPr>
            <w:tcW w:w="1260" w:type="dxa"/>
            <w:hideMark/>
          </w:tcPr>
          <w:p w:rsidR="00021FAC" w:rsidRPr="005B0F75" w:rsidRDefault="00021FAC" w:rsidP="008B41D1">
            <w:pPr>
              <w:pStyle w:val="TableText"/>
              <w:jc w:val="center"/>
            </w:pPr>
            <w:r w:rsidRPr="005B0F75">
              <w:t xml:space="preserve">Aggregate Savings Volume </w:t>
            </w:r>
            <w:r w:rsidRPr="005B0F75">
              <w:br/>
              <w:t>(</w:t>
            </w:r>
            <w:proofErr w:type="spellStart"/>
            <w:r w:rsidRPr="005B0F75">
              <w:t>TSh</w:t>
            </w:r>
            <w:proofErr w:type="spellEnd"/>
            <w:r w:rsidRPr="005B0F75">
              <w:t xml:space="preserve"> millions)</w:t>
            </w:r>
          </w:p>
        </w:tc>
        <w:tc>
          <w:tcPr>
            <w:tcW w:w="1433" w:type="dxa"/>
          </w:tcPr>
          <w:p w:rsidR="00021FAC" w:rsidRPr="005B0F75" w:rsidRDefault="00021FAC" w:rsidP="00EE0839">
            <w:pPr>
              <w:pStyle w:val="TableText"/>
              <w:jc w:val="center"/>
            </w:pPr>
            <w:r w:rsidRPr="005B0F75">
              <w:t>Aggregate Savings Volume (US$)</w:t>
            </w:r>
            <w:r w:rsidRPr="00471F79">
              <w:rPr>
                <w:rStyle w:val="FootnoteReference"/>
              </w:rPr>
              <w:footnoteReference w:id="2"/>
            </w:r>
          </w:p>
        </w:tc>
      </w:tr>
      <w:tr w:rsidR="00021FAC" w:rsidRPr="005B0F75" w:rsidTr="008B41D1">
        <w:tc>
          <w:tcPr>
            <w:tcW w:w="1098" w:type="dxa"/>
            <w:hideMark/>
          </w:tcPr>
          <w:p w:rsidR="00021FAC" w:rsidRPr="005B0F75" w:rsidRDefault="00021FAC" w:rsidP="005B0F75">
            <w:pPr>
              <w:pStyle w:val="TableText"/>
            </w:pPr>
            <w:proofErr w:type="spellStart"/>
            <w:r w:rsidRPr="005B0F75">
              <w:t>Africare</w:t>
            </w:r>
            <w:proofErr w:type="spellEnd"/>
            <w:r w:rsidRPr="005B0F75">
              <w:t xml:space="preserve"> </w:t>
            </w:r>
          </w:p>
        </w:tc>
        <w:tc>
          <w:tcPr>
            <w:tcW w:w="1325" w:type="dxa"/>
            <w:hideMark/>
          </w:tcPr>
          <w:p w:rsidR="00021FAC" w:rsidRPr="005B0F75" w:rsidRDefault="00021FAC" w:rsidP="008B41D1">
            <w:pPr>
              <w:pStyle w:val="TableText"/>
              <w:jc w:val="center"/>
            </w:pPr>
            <w:r w:rsidRPr="005B0F75">
              <w:t>20,481</w:t>
            </w:r>
          </w:p>
        </w:tc>
        <w:tc>
          <w:tcPr>
            <w:tcW w:w="1080" w:type="dxa"/>
            <w:hideMark/>
          </w:tcPr>
          <w:p w:rsidR="00021FAC" w:rsidRPr="005B0F75" w:rsidRDefault="00021FAC" w:rsidP="008B41D1">
            <w:pPr>
              <w:pStyle w:val="TableText"/>
              <w:jc w:val="center"/>
            </w:pPr>
            <w:r w:rsidRPr="005B0F75">
              <w:t>1,470</w:t>
            </w:r>
          </w:p>
        </w:tc>
        <w:tc>
          <w:tcPr>
            <w:tcW w:w="1742" w:type="dxa"/>
            <w:hideMark/>
          </w:tcPr>
          <w:p w:rsidR="00021FAC" w:rsidRPr="005B0F75" w:rsidRDefault="00857BF8" w:rsidP="008B41D1">
            <w:pPr>
              <w:pStyle w:val="TableText"/>
              <w:jc w:val="center"/>
            </w:pPr>
            <w:r>
              <w:t>20,4</w:t>
            </w:r>
            <w:r w:rsidR="00021FAC" w:rsidRPr="005B0F75">
              <w:t>81</w:t>
            </w:r>
          </w:p>
        </w:tc>
        <w:tc>
          <w:tcPr>
            <w:tcW w:w="1080" w:type="dxa"/>
            <w:hideMark/>
          </w:tcPr>
          <w:p w:rsidR="00021FAC" w:rsidRPr="005B0F75" w:rsidRDefault="00021FAC" w:rsidP="008B41D1">
            <w:pPr>
              <w:pStyle w:val="TableText"/>
              <w:jc w:val="center"/>
            </w:pPr>
            <w:r w:rsidRPr="005B0F75">
              <w:t>37,628</w:t>
            </w:r>
          </w:p>
        </w:tc>
        <w:tc>
          <w:tcPr>
            <w:tcW w:w="1260" w:type="dxa"/>
            <w:hideMark/>
          </w:tcPr>
          <w:p w:rsidR="00021FAC" w:rsidRPr="005B0F75" w:rsidRDefault="00857BF8" w:rsidP="008B41D1">
            <w:pPr>
              <w:pStyle w:val="TableText"/>
              <w:jc w:val="center"/>
            </w:pPr>
            <w:r>
              <w:t>9,043</w:t>
            </w:r>
          </w:p>
        </w:tc>
        <w:tc>
          <w:tcPr>
            <w:tcW w:w="1433" w:type="dxa"/>
          </w:tcPr>
          <w:p w:rsidR="00021FAC" w:rsidRPr="005B0F75" w:rsidRDefault="00EE0839" w:rsidP="008B41D1">
            <w:pPr>
              <w:pStyle w:val="TableText"/>
              <w:jc w:val="center"/>
            </w:pPr>
            <w:r>
              <w:t>$5,599,381</w:t>
            </w:r>
          </w:p>
        </w:tc>
      </w:tr>
      <w:tr w:rsidR="00021FAC" w:rsidRPr="005B0F75" w:rsidTr="008B41D1">
        <w:tc>
          <w:tcPr>
            <w:tcW w:w="1098" w:type="dxa"/>
            <w:hideMark/>
          </w:tcPr>
          <w:p w:rsidR="00021FAC" w:rsidRPr="005B0F75" w:rsidRDefault="00021FAC" w:rsidP="005B0F75">
            <w:pPr>
              <w:pStyle w:val="TableText"/>
            </w:pPr>
            <w:r w:rsidRPr="005B0F75">
              <w:t>FHI 360</w:t>
            </w:r>
          </w:p>
        </w:tc>
        <w:tc>
          <w:tcPr>
            <w:tcW w:w="1325" w:type="dxa"/>
            <w:hideMark/>
          </w:tcPr>
          <w:p w:rsidR="00021FAC" w:rsidRPr="005B0F75" w:rsidRDefault="00021FAC" w:rsidP="008B41D1">
            <w:pPr>
              <w:pStyle w:val="TableText"/>
              <w:jc w:val="center"/>
            </w:pPr>
            <w:r w:rsidRPr="005B0F75">
              <w:t>7,611</w:t>
            </w:r>
          </w:p>
        </w:tc>
        <w:tc>
          <w:tcPr>
            <w:tcW w:w="1080" w:type="dxa"/>
            <w:hideMark/>
          </w:tcPr>
          <w:p w:rsidR="00021FAC" w:rsidRPr="005B0F75" w:rsidRDefault="00021FAC" w:rsidP="008B41D1">
            <w:pPr>
              <w:pStyle w:val="TableText"/>
              <w:jc w:val="center"/>
            </w:pPr>
            <w:r w:rsidRPr="005B0F75">
              <w:t>435</w:t>
            </w:r>
          </w:p>
        </w:tc>
        <w:tc>
          <w:tcPr>
            <w:tcW w:w="1742" w:type="dxa"/>
            <w:hideMark/>
          </w:tcPr>
          <w:p w:rsidR="00021FAC" w:rsidRPr="005B0F75" w:rsidRDefault="00021FAC" w:rsidP="008B41D1">
            <w:pPr>
              <w:pStyle w:val="TableText"/>
              <w:jc w:val="center"/>
            </w:pPr>
            <w:r w:rsidRPr="005B0F75">
              <w:t>4,179</w:t>
            </w:r>
          </w:p>
        </w:tc>
        <w:tc>
          <w:tcPr>
            <w:tcW w:w="1080" w:type="dxa"/>
            <w:hideMark/>
          </w:tcPr>
          <w:p w:rsidR="00021FAC" w:rsidRPr="005B0F75" w:rsidRDefault="00021FAC" w:rsidP="008B41D1">
            <w:pPr>
              <w:pStyle w:val="TableText"/>
              <w:jc w:val="center"/>
            </w:pPr>
            <w:r w:rsidRPr="005B0F75">
              <w:t>7,611</w:t>
            </w:r>
          </w:p>
        </w:tc>
        <w:tc>
          <w:tcPr>
            <w:tcW w:w="1260" w:type="dxa"/>
            <w:hideMark/>
          </w:tcPr>
          <w:p w:rsidR="00021FAC" w:rsidRPr="005B0F75" w:rsidRDefault="00857BF8" w:rsidP="008B41D1">
            <w:pPr>
              <w:pStyle w:val="TableText"/>
              <w:jc w:val="center"/>
            </w:pPr>
            <w:r>
              <w:t>1,353</w:t>
            </w:r>
          </w:p>
        </w:tc>
        <w:tc>
          <w:tcPr>
            <w:tcW w:w="1433" w:type="dxa"/>
          </w:tcPr>
          <w:p w:rsidR="00021FAC" w:rsidRPr="005B0F75" w:rsidRDefault="00EE0839" w:rsidP="008B41D1">
            <w:pPr>
              <w:pStyle w:val="TableText"/>
              <w:jc w:val="center"/>
            </w:pPr>
            <w:r>
              <w:t>$837,771</w:t>
            </w:r>
          </w:p>
        </w:tc>
      </w:tr>
      <w:tr w:rsidR="00021FAC" w:rsidRPr="005B0F75" w:rsidTr="008B41D1">
        <w:tc>
          <w:tcPr>
            <w:tcW w:w="1098" w:type="dxa"/>
            <w:hideMark/>
          </w:tcPr>
          <w:p w:rsidR="00021FAC" w:rsidRPr="005B0F75" w:rsidRDefault="00021FAC" w:rsidP="005B0F75">
            <w:pPr>
              <w:pStyle w:val="TableText"/>
            </w:pPr>
            <w:r w:rsidRPr="005B0F75">
              <w:t>Pact</w:t>
            </w:r>
          </w:p>
        </w:tc>
        <w:tc>
          <w:tcPr>
            <w:tcW w:w="1325" w:type="dxa"/>
            <w:hideMark/>
          </w:tcPr>
          <w:p w:rsidR="00021FAC" w:rsidRPr="000C417E" w:rsidRDefault="00021FAC" w:rsidP="008B41D1">
            <w:pPr>
              <w:pStyle w:val="TableText"/>
              <w:jc w:val="center"/>
            </w:pPr>
            <w:r w:rsidRPr="000C417E">
              <w:t>49,912</w:t>
            </w:r>
          </w:p>
        </w:tc>
        <w:tc>
          <w:tcPr>
            <w:tcW w:w="1080" w:type="dxa"/>
            <w:hideMark/>
          </w:tcPr>
          <w:p w:rsidR="00021FAC" w:rsidRPr="000C417E" w:rsidRDefault="00021FAC" w:rsidP="008B41D1">
            <w:pPr>
              <w:pStyle w:val="TableText"/>
              <w:jc w:val="center"/>
            </w:pPr>
            <w:r w:rsidRPr="000C417E">
              <w:t>3,037</w:t>
            </w:r>
          </w:p>
        </w:tc>
        <w:tc>
          <w:tcPr>
            <w:tcW w:w="1742" w:type="dxa"/>
            <w:hideMark/>
          </w:tcPr>
          <w:p w:rsidR="00021FAC" w:rsidRPr="000C417E" w:rsidRDefault="00021FAC" w:rsidP="008B41D1">
            <w:pPr>
              <w:pStyle w:val="TableText"/>
              <w:jc w:val="center"/>
            </w:pPr>
            <w:r w:rsidRPr="000C417E">
              <w:t>49,912</w:t>
            </w:r>
          </w:p>
        </w:tc>
        <w:tc>
          <w:tcPr>
            <w:tcW w:w="1080" w:type="dxa"/>
            <w:hideMark/>
          </w:tcPr>
          <w:p w:rsidR="00021FAC" w:rsidRPr="000C417E" w:rsidRDefault="00021FAC" w:rsidP="008B41D1">
            <w:pPr>
              <w:pStyle w:val="TableText"/>
              <w:jc w:val="center"/>
            </w:pPr>
            <w:r w:rsidRPr="000C417E">
              <w:t>49,912</w:t>
            </w:r>
          </w:p>
        </w:tc>
        <w:tc>
          <w:tcPr>
            <w:tcW w:w="1260" w:type="dxa"/>
            <w:hideMark/>
          </w:tcPr>
          <w:p w:rsidR="00021FAC" w:rsidRPr="000C417E" w:rsidRDefault="00857BF8" w:rsidP="008B41D1">
            <w:pPr>
              <w:pStyle w:val="TableText"/>
              <w:jc w:val="center"/>
            </w:pPr>
            <w:r>
              <w:t>2,356</w:t>
            </w:r>
          </w:p>
        </w:tc>
        <w:tc>
          <w:tcPr>
            <w:tcW w:w="1433" w:type="dxa"/>
          </w:tcPr>
          <w:p w:rsidR="00021FAC" w:rsidRPr="000C417E" w:rsidRDefault="00EE0839" w:rsidP="008B41D1">
            <w:pPr>
              <w:pStyle w:val="TableText"/>
              <w:jc w:val="center"/>
            </w:pPr>
            <w:r>
              <w:t>$1,458, 824</w:t>
            </w:r>
          </w:p>
        </w:tc>
      </w:tr>
      <w:tr w:rsidR="00021FAC" w:rsidRPr="005B0F75" w:rsidTr="008B41D1">
        <w:tc>
          <w:tcPr>
            <w:tcW w:w="1098" w:type="dxa"/>
            <w:hideMark/>
          </w:tcPr>
          <w:p w:rsidR="00021FAC" w:rsidRPr="005B0F75" w:rsidRDefault="00021FAC" w:rsidP="005B0F75">
            <w:pPr>
              <w:pStyle w:val="TableText"/>
            </w:pPr>
            <w:r w:rsidRPr="005B0F75">
              <w:t>WEI</w:t>
            </w:r>
          </w:p>
        </w:tc>
        <w:tc>
          <w:tcPr>
            <w:tcW w:w="1325" w:type="dxa"/>
            <w:hideMark/>
          </w:tcPr>
          <w:p w:rsidR="00021FAC" w:rsidRPr="005B0F75" w:rsidRDefault="009D2295" w:rsidP="008B41D1">
            <w:pPr>
              <w:pStyle w:val="TableText"/>
              <w:jc w:val="center"/>
            </w:pPr>
            <w:r>
              <w:t>3,640</w:t>
            </w:r>
          </w:p>
        </w:tc>
        <w:tc>
          <w:tcPr>
            <w:tcW w:w="1080" w:type="dxa"/>
            <w:hideMark/>
          </w:tcPr>
          <w:p w:rsidR="00021FAC" w:rsidRPr="005B0F75" w:rsidRDefault="00021FAC" w:rsidP="008B41D1">
            <w:pPr>
              <w:pStyle w:val="TableText"/>
              <w:jc w:val="center"/>
            </w:pPr>
            <w:r w:rsidRPr="005B0F75">
              <w:t>248</w:t>
            </w:r>
          </w:p>
        </w:tc>
        <w:tc>
          <w:tcPr>
            <w:tcW w:w="1742" w:type="dxa"/>
            <w:hideMark/>
          </w:tcPr>
          <w:p w:rsidR="00021FAC" w:rsidRPr="005B0F75" w:rsidRDefault="009D2295" w:rsidP="008B41D1">
            <w:pPr>
              <w:pStyle w:val="TableText"/>
              <w:jc w:val="center"/>
            </w:pPr>
            <w:r>
              <w:t>3,640</w:t>
            </w:r>
          </w:p>
        </w:tc>
        <w:tc>
          <w:tcPr>
            <w:tcW w:w="1080" w:type="dxa"/>
            <w:hideMark/>
          </w:tcPr>
          <w:p w:rsidR="00021FAC" w:rsidRPr="005B0F75" w:rsidRDefault="00021FAC" w:rsidP="008B41D1">
            <w:pPr>
              <w:pStyle w:val="TableText"/>
              <w:jc w:val="center"/>
            </w:pPr>
            <w:r w:rsidRPr="005B0F75">
              <w:t>6,245</w:t>
            </w:r>
          </w:p>
        </w:tc>
        <w:tc>
          <w:tcPr>
            <w:tcW w:w="1260" w:type="dxa"/>
            <w:hideMark/>
          </w:tcPr>
          <w:p w:rsidR="00021FAC" w:rsidRPr="005B0F75" w:rsidRDefault="00857BF8" w:rsidP="008B41D1">
            <w:pPr>
              <w:pStyle w:val="TableText"/>
              <w:jc w:val="center"/>
            </w:pPr>
            <w:r>
              <w:t>591</w:t>
            </w:r>
          </w:p>
        </w:tc>
        <w:tc>
          <w:tcPr>
            <w:tcW w:w="1433" w:type="dxa"/>
          </w:tcPr>
          <w:p w:rsidR="00021FAC" w:rsidRPr="005B0F75" w:rsidRDefault="00EE0839" w:rsidP="008B41D1">
            <w:pPr>
              <w:pStyle w:val="TableText"/>
              <w:jc w:val="center"/>
              <w:rPr>
                <w:highlight w:val="yellow"/>
              </w:rPr>
            </w:pPr>
            <w:r>
              <w:t>$365,944</w:t>
            </w:r>
          </w:p>
        </w:tc>
      </w:tr>
      <w:tr w:rsidR="00021FAC" w:rsidRPr="005B0F75" w:rsidTr="008B41D1">
        <w:tc>
          <w:tcPr>
            <w:tcW w:w="1098" w:type="dxa"/>
            <w:hideMark/>
          </w:tcPr>
          <w:p w:rsidR="00021FAC" w:rsidRPr="005B0F75" w:rsidRDefault="00021FAC" w:rsidP="005B0F75">
            <w:pPr>
              <w:pStyle w:val="TableText"/>
            </w:pPr>
            <w:r w:rsidRPr="005B0F75">
              <w:t>Total</w:t>
            </w:r>
          </w:p>
        </w:tc>
        <w:tc>
          <w:tcPr>
            <w:tcW w:w="1325" w:type="dxa"/>
          </w:tcPr>
          <w:p w:rsidR="00021FAC" w:rsidRPr="005B0F75" w:rsidRDefault="00857BF8" w:rsidP="008B41D1">
            <w:pPr>
              <w:pStyle w:val="TableText"/>
              <w:jc w:val="center"/>
            </w:pPr>
            <w:r>
              <w:t>81,644</w:t>
            </w:r>
          </w:p>
        </w:tc>
        <w:tc>
          <w:tcPr>
            <w:tcW w:w="1080" w:type="dxa"/>
          </w:tcPr>
          <w:p w:rsidR="00021FAC" w:rsidRPr="005B0F75" w:rsidRDefault="00857BF8" w:rsidP="008B41D1">
            <w:pPr>
              <w:pStyle w:val="TableText"/>
              <w:jc w:val="center"/>
            </w:pPr>
            <w:r>
              <w:t>5,190</w:t>
            </w:r>
          </w:p>
        </w:tc>
        <w:tc>
          <w:tcPr>
            <w:tcW w:w="1742" w:type="dxa"/>
          </w:tcPr>
          <w:p w:rsidR="00021FAC" w:rsidRPr="005B0F75" w:rsidRDefault="00857BF8" w:rsidP="008B41D1">
            <w:pPr>
              <w:pStyle w:val="TableText"/>
              <w:jc w:val="center"/>
            </w:pPr>
            <w:r>
              <w:t>78,212</w:t>
            </w:r>
          </w:p>
        </w:tc>
        <w:tc>
          <w:tcPr>
            <w:tcW w:w="1080" w:type="dxa"/>
          </w:tcPr>
          <w:p w:rsidR="00021FAC" w:rsidRPr="005B0F75" w:rsidRDefault="00857BF8" w:rsidP="008B41D1">
            <w:pPr>
              <w:pStyle w:val="TableText"/>
              <w:jc w:val="center"/>
            </w:pPr>
            <w:r>
              <w:t>101,396</w:t>
            </w:r>
          </w:p>
        </w:tc>
        <w:tc>
          <w:tcPr>
            <w:tcW w:w="1260" w:type="dxa"/>
          </w:tcPr>
          <w:p w:rsidR="00021FAC" w:rsidRPr="005B0F75" w:rsidRDefault="00857BF8" w:rsidP="008B41D1">
            <w:pPr>
              <w:pStyle w:val="TableText"/>
              <w:jc w:val="center"/>
            </w:pPr>
            <w:r>
              <w:t>13,343</w:t>
            </w:r>
          </w:p>
        </w:tc>
        <w:tc>
          <w:tcPr>
            <w:tcW w:w="1433" w:type="dxa"/>
          </w:tcPr>
          <w:p w:rsidR="00021FAC" w:rsidRPr="005B0F75" w:rsidRDefault="00EE0839" w:rsidP="008B41D1">
            <w:pPr>
              <w:pStyle w:val="TableText"/>
              <w:jc w:val="center"/>
            </w:pPr>
            <w:r>
              <w:t>$8,261,920</w:t>
            </w:r>
          </w:p>
        </w:tc>
      </w:tr>
    </w:tbl>
    <w:p w:rsidR="00021FAC" w:rsidRPr="005B0F75" w:rsidRDefault="00021FAC" w:rsidP="006F19BF">
      <w:pPr>
        <w:pStyle w:val="Heading3"/>
      </w:pPr>
      <w:bookmarkStart w:id="16" w:name="_Toc404177152"/>
      <w:r w:rsidRPr="005B0F75">
        <w:t>Food Security, Health, and Social Outcomes</w:t>
      </w:r>
      <w:bookmarkEnd w:id="16"/>
    </w:p>
    <w:p w:rsidR="00021FAC" w:rsidRPr="00290578" w:rsidRDefault="00021FAC" w:rsidP="005B0F75">
      <w:r w:rsidRPr="00290578">
        <w:t>In addition to the quantitative results, the PT savings study and the HEA highlight important qualitative results:</w:t>
      </w:r>
    </w:p>
    <w:p w:rsidR="00021FAC" w:rsidRPr="00290578" w:rsidRDefault="00021FAC" w:rsidP="009A05A0">
      <w:pPr>
        <w:pStyle w:val="Bullet1"/>
      </w:pPr>
      <w:r w:rsidRPr="00290578">
        <w:t>Improved ability to smooth consumption, particularly in the hungry season.</w:t>
      </w:r>
    </w:p>
    <w:p w:rsidR="00021FAC" w:rsidRPr="00290578" w:rsidRDefault="00021FAC" w:rsidP="009A05A0">
      <w:pPr>
        <w:pStyle w:val="Bullet1"/>
      </w:pPr>
      <w:r w:rsidRPr="00290578">
        <w:t xml:space="preserve">Improved food security. </w:t>
      </w:r>
    </w:p>
    <w:p w:rsidR="00021FAC" w:rsidRPr="00290578" w:rsidRDefault="00021FAC" w:rsidP="009A05A0">
      <w:pPr>
        <w:pStyle w:val="Bullet1"/>
      </w:pPr>
      <w:r w:rsidRPr="00290578">
        <w:lastRenderedPageBreak/>
        <w:t xml:space="preserve">Improved accumulation of funds to meet MVC needs. </w:t>
      </w:r>
    </w:p>
    <w:p w:rsidR="00021FAC" w:rsidRPr="00290578" w:rsidRDefault="00021FAC" w:rsidP="009A05A0">
      <w:pPr>
        <w:pStyle w:val="Bullet1"/>
      </w:pPr>
      <w:r w:rsidRPr="00290578">
        <w:t xml:space="preserve">Improved ability to meet family nutrition, health, and education expenditures and joint planning. </w:t>
      </w:r>
    </w:p>
    <w:p w:rsidR="00021FAC" w:rsidRPr="00290578" w:rsidRDefault="00021FAC" w:rsidP="009A05A0">
      <w:pPr>
        <w:pStyle w:val="BulletLast"/>
      </w:pPr>
      <w:r w:rsidRPr="00290578">
        <w:t>Reduced isolation and stigma.</w:t>
      </w:r>
    </w:p>
    <w:p w:rsidR="00021FAC" w:rsidRPr="00290578" w:rsidRDefault="00021FAC" w:rsidP="00285CF2">
      <w:pPr>
        <w:pStyle w:val="Heading3"/>
      </w:pPr>
      <w:bookmarkStart w:id="17" w:name="_Toc404177153"/>
      <w:r w:rsidRPr="00290578">
        <w:t>Improved Consumption Smoothing</w:t>
      </w:r>
      <w:bookmarkEnd w:id="17"/>
    </w:p>
    <w:p w:rsidR="00021FAC" w:rsidRPr="00290578" w:rsidRDefault="00021FAC" w:rsidP="009A05A0">
      <w:pPr>
        <w:rPr>
          <w:b/>
        </w:rPr>
      </w:pPr>
      <w:r w:rsidRPr="00290578">
        <w:t xml:space="preserve">Since the 2011 baseline, those who save reported gains in the amount of monthly savings: 53 percent of respondents reported saving more than TSh10,000 monthly, compared with 27 percent at baseline (see Figures 1 and 2 for reported changes among households that save). FGDs completed during the HEA also highlighted the importance of CSGs in helping people borrow money to pay for school fees and agricultural inputs (fertilizer, improved seeds), which they were unable to do two years earlier. </w:t>
      </w:r>
    </w:p>
    <w:p w:rsidR="00021FAC" w:rsidRDefault="00021FAC" w:rsidP="009A05A0">
      <w:pPr>
        <w:pStyle w:val="FigureTitle"/>
      </w:pPr>
      <w:bookmarkStart w:id="18" w:name="_Toc404171637"/>
      <w:r w:rsidRPr="00290578">
        <w:t xml:space="preserve">Figures 1 and 2: Change in Monthly Savings </w:t>
      </w:r>
      <w:r w:rsidR="005A4DCB">
        <w:t>A</w:t>
      </w:r>
      <w:r w:rsidRPr="00290578">
        <w:t xml:space="preserve">mong Households </w:t>
      </w:r>
      <w:r w:rsidR="005A4DCB">
        <w:t>T</w:t>
      </w:r>
      <w:r w:rsidRPr="00290578">
        <w:t>hat Save</w:t>
      </w:r>
      <w:bookmarkEnd w:id="18"/>
    </w:p>
    <w:p w:rsidR="007B7E4E" w:rsidRPr="007B7E4E" w:rsidRDefault="007B7E4E" w:rsidP="007B7E4E">
      <w:pPr>
        <w:pStyle w:val="FigureTitle"/>
      </w:pPr>
      <w:r>
        <w:rPr>
          <w:noProof/>
        </w:rPr>
        <w:drawing>
          <wp:inline distT="0" distB="0" distL="0" distR="0" wp14:anchorId="0A4D360B" wp14:editId="4F1EF081">
            <wp:extent cx="2867025" cy="2952750"/>
            <wp:effectExtent l="0" t="0" r="9525"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14:anchorId="32A403CF" wp14:editId="5932FD88">
            <wp:extent cx="2914650" cy="2952750"/>
            <wp:effectExtent l="0" t="0" r="19050" b="190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bookmarkStart w:id="19" w:name="_Toc404176553"/>
      <w:bookmarkStart w:id="20" w:name="_Toc404177154"/>
    </w:p>
    <w:p w:rsidR="00021FAC" w:rsidRPr="007B7E4E" w:rsidRDefault="00021FAC" w:rsidP="007B7E4E">
      <w:pPr>
        <w:pStyle w:val="Heading3"/>
        <w:spacing w:before="0" w:after="0"/>
        <w:jc w:val="both"/>
        <w:rPr>
          <w:rFonts w:ascii="Arial" w:hAnsi="Arial" w:cs="Arial"/>
          <w:color w:val="auto"/>
          <w:sz w:val="22"/>
          <w:szCs w:val="22"/>
        </w:rPr>
      </w:pPr>
      <w:bookmarkStart w:id="21" w:name="_Toc404177155"/>
      <w:bookmarkEnd w:id="19"/>
      <w:bookmarkEnd w:id="20"/>
      <w:r w:rsidRPr="00290578">
        <w:t>Food Security</w:t>
      </w:r>
      <w:bookmarkEnd w:id="21"/>
      <w:r w:rsidRPr="00290578">
        <w:t xml:space="preserve"> </w:t>
      </w:r>
    </w:p>
    <w:p w:rsidR="00021FAC" w:rsidRPr="00290578" w:rsidRDefault="00557D1F" w:rsidP="004C4EE7">
      <w:pPr>
        <w:rPr>
          <w:b/>
        </w:rPr>
      </w:pPr>
      <w:r>
        <w:rPr>
          <w:noProof/>
        </w:rPr>
        <mc:AlternateContent>
          <mc:Choice Requires="wps">
            <w:drawing>
              <wp:anchor distT="0" distB="0" distL="114300" distR="114300" simplePos="0" relativeHeight="251685376" behindDoc="0" locked="0" layoutInCell="1" allowOverlap="1">
                <wp:simplePos x="0" y="0"/>
                <wp:positionH relativeFrom="column">
                  <wp:posOffset>3105150</wp:posOffset>
                </wp:positionH>
                <wp:positionV relativeFrom="paragraph">
                  <wp:posOffset>65405</wp:posOffset>
                </wp:positionV>
                <wp:extent cx="2690494" cy="346709"/>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0494" cy="346709"/>
                        </a:xfrm>
                        <a:prstGeom prst="rect">
                          <a:avLst/>
                        </a:prstGeom>
                        <a:solidFill>
                          <a:srgbClr val="FFFFFF"/>
                        </a:solidFill>
                        <a:ln w="9525">
                          <a:noFill/>
                          <a:miter lim="800000"/>
                          <a:headEnd/>
                          <a:tailEnd/>
                        </a:ln>
                      </wps:spPr>
                      <wps:txbx>
                        <w:txbxContent>
                          <w:p w:rsidR="000C417E" w:rsidRDefault="000C417E" w:rsidP="004C4EE7">
                            <w:pPr>
                              <w:pStyle w:val="FigureTitle"/>
                            </w:pPr>
                            <w:bookmarkStart w:id="22" w:name="_Toc404171638"/>
                            <w:r w:rsidRPr="00290578">
                              <w:t xml:space="preserve">FIGURE 3:  HOUSEHOLD HUNGER </w:t>
                            </w:r>
                            <w:bookmarkEnd w:id="22"/>
                            <w:r w:rsidR="003624CE">
                              <w:rPr>
                                <w:noProof/>
                              </w:rPr>
                              <w:drawing>
                                <wp:inline distT="0" distB="0" distL="0" distR="0" wp14:anchorId="25EDF35D" wp14:editId="2B44A617">
                                  <wp:extent cx="2498090" cy="2320207"/>
                                  <wp:effectExtent l="0" t="0" r="16510" b="2349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xbxContent>
                      </wps:txbx>
                      <wps:bodyPr rot="0" vert="horz" wrap="square" lIns="91440" tIns="45720" rIns="91440" bIns="45720" anchor="t" anchorCtr="0">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44.5pt;margin-top:5.15pt;width:211.85pt;height:27.3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be/IgIAAB0EAAAOAAAAZHJzL2Uyb0RvYy54bWysU81u2zAMvg/YOwi6L3ZcJ22MOEWXLsOA&#10;7gdo9wCyLMfCJFGTlNjZ05dS0jTbbsN0EEiR/ER+JJe3o1ZkL5yXYGo6neSUCMOhlWZb0+9Pm3c3&#10;lPjATMsUGFHTg/D0dvX2zXKwlSigB9UKRxDE+GqwNe1DsFWWed4LzfwErDBo7MBpFlB126x1bEB0&#10;rbIiz+fZAK61DrjwHl/vj0a6SvhdJ3j42nVeBKJqirmFdLt0N/HOVktWbR2zveSnNNg/ZKGZNPjp&#10;GeqeBUZ2Tv4FpSV34KELEw46g66TXKQasJpp/kc1jz2zItWC5Hh7psn/P1j+Zf/NEdnW9Cq/psQw&#10;jU16EmMg72EkReRnsL5Ct0eLjmHEZ+xzqtXbB+A/PDGw7pnZijvnYOgFazG/aYzMLkKPOD6CNMNn&#10;aPEbtguQgMbO6Uge0kEQHft0OPcmpsLxsZgv8nJRUsLRdlXOr/NF+oJVL9HW+fBRgCZRqKnD3id0&#10;tn/wIWbDqheX+JkHJduNVCopbtuslSN7hnOySeeE/pubMmSo6WJWzBKygRifRkjLgHOspK7pTR5P&#10;DGdVZOODaZMcmFRHGTNR5kRPZOTITRibER0jZw20ByTKwXFecb9Q6MH9omTAWa2p/7ljTlCiPhkk&#10;ezEtyzjcSSln1wUq7tLSXFqY4QhV00DJUVyHtBCJB3uHTdnIxNdrJqdccQYTjad9iUN+qSev161e&#10;PQMAAP//AwBQSwMEFAAGAAgAAAAhAFpy1yTeAAAACQEAAA8AAABkcnMvZG93bnJldi54bWxMjzFP&#10;wzAUhHck/oP1kNiok1JCE+JUCIkFdaCFgfE1fsQhsR1ipw3/nsdUxtOd7r4rN7PtxZHG0HqnIF0k&#10;IMjVXreuUfD+9nyzBhEiOo29d6TghwJsqsuLEgvtT25Hx31sBJe4UKACE+NQSBlqQxbDwg/k2Pv0&#10;o8XIcmykHvHE5baXyyTJpMXW8YLBgZ4M1d1+sjyyDfW0899f6baTH6bL8O7VvCh1fTU/PoCINMdz&#10;GP7wGR0qZjr4yekgegWrdc5fIhvJLQgO5OnyHsRBQbbKQVal/P+g+gUAAP//AwBQSwECLQAUAAYA&#10;CAAAACEAtoM4kv4AAADhAQAAEwAAAAAAAAAAAAAAAAAAAAAAW0NvbnRlbnRfVHlwZXNdLnhtbFBL&#10;AQItABQABgAIAAAAIQA4/SH/1gAAAJQBAAALAAAAAAAAAAAAAAAAAC8BAABfcmVscy8ucmVsc1BL&#10;AQItABQABgAIAAAAIQACibe/IgIAAB0EAAAOAAAAAAAAAAAAAAAAAC4CAABkcnMvZTJvRG9jLnht&#10;bFBLAQItABQABgAIAAAAIQBactck3gAAAAkBAAAPAAAAAAAAAAAAAAAAAHwEAABkcnMvZG93bnJl&#10;di54bWxQSwUGAAAAAAQABADzAAAAhwUAAAAA&#10;" stroked="f">
                <v:textbox style="mso-fit-shape-to-text:t">
                  <w:txbxContent>
                    <w:p w:rsidR="000C417E" w:rsidRDefault="000C417E" w:rsidP="004C4EE7">
                      <w:pPr>
                        <w:pStyle w:val="FigureTitle"/>
                      </w:pPr>
                      <w:bookmarkStart w:id="23" w:name="_Toc404171638"/>
                      <w:r w:rsidRPr="00290578">
                        <w:t xml:space="preserve">FIGURE 3:  HOUSEHOLD HUNGER </w:t>
                      </w:r>
                      <w:bookmarkEnd w:id="23"/>
                      <w:r w:rsidR="003624CE">
                        <w:rPr>
                          <w:noProof/>
                        </w:rPr>
                        <w:drawing>
                          <wp:inline distT="0" distB="0" distL="0" distR="0" wp14:anchorId="25EDF35D" wp14:editId="2B44A617">
                            <wp:extent cx="2498090" cy="2320207"/>
                            <wp:effectExtent l="0" t="0" r="16510" b="2349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xbxContent>
                </v:textbox>
                <w10:wrap type="square"/>
              </v:shape>
            </w:pict>
          </mc:Fallback>
        </mc:AlternateContent>
      </w:r>
      <w:r w:rsidR="00021FAC" w:rsidRPr="00290578">
        <w:t xml:space="preserve">Comparing households in 2011 and 2014, households participating in CSGs were three times more likely to be able to save, and experienced reduced household hunger. Figure 3 shows the household hunger scale for baseline and </w:t>
      </w:r>
      <w:proofErr w:type="spellStart"/>
      <w:r w:rsidR="00021FAC" w:rsidRPr="00290578">
        <w:t>endline</w:t>
      </w:r>
      <w:proofErr w:type="spellEnd"/>
      <w:r w:rsidR="00021FAC" w:rsidRPr="00290578">
        <w:t xml:space="preserve"> HEA participants. </w:t>
      </w:r>
    </w:p>
    <w:p w:rsidR="00021FAC" w:rsidRPr="00290578" w:rsidRDefault="00021FAC" w:rsidP="00285CF2">
      <w:pPr>
        <w:pStyle w:val="Heading3"/>
      </w:pPr>
      <w:bookmarkStart w:id="23" w:name="_Toc404177156"/>
      <w:r w:rsidRPr="00290578">
        <w:t>MVC Funds</w:t>
      </w:r>
      <w:bookmarkEnd w:id="23"/>
    </w:p>
    <w:p w:rsidR="00021FAC" w:rsidRPr="00290578" w:rsidRDefault="00021FAC" w:rsidP="009A05A0">
      <w:pPr>
        <w:rPr>
          <w:b/>
        </w:rPr>
      </w:pPr>
      <w:r w:rsidRPr="00290578">
        <w:t xml:space="preserve">One of the PT partners’ key innovations was the creation of MVC Funds, internal CSG funds to which all members contribute for MVC needs. Contributions range from TSh100–500 per meeting. Typically, the MVC Fund is used to support children with basic needs (shelter, food) and provide school expenses. All the PT partners have MVC Funds, although for some </w:t>
      </w:r>
      <w:r w:rsidRPr="00290578">
        <w:lastRenderedPageBreak/>
        <w:t xml:space="preserve">their participation is mandatory and for others it is elective. The distribution of MVC funds is usually managed by MVCC members or other village leadership. More information about MVC Funds in PT CSGs can be found in Annex </w:t>
      </w:r>
      <w:r w:rsidR="00103759">
        <w:t>2</w:t>
      </w:r>
      <w:r w:rsidRPr="00290578">
        <w:t>.</w:t>
      </w:r>
    </w:p>
    <w:p w:rsidR="00021FAC" w:rsidRPr="00290578" w:rsidRDefault="00021FAC" w:rsidP="00285CF2">
      <w:pPr>
        <w:pStyle w:val="Heading3"/>
      </w:pPr>
      <w:bookmarkStart w:id="24" w:name="_Toc404177157"/>
      <w:r w:rsidRPr="00290578">
        <w:t>Improved Health, Social, Economic, and Empowerment Outcomes from Participation</w:t>
      </w:r>
      <w:bookmarkEnd w:id="24"/>
    </w:p>
    <w:p w:rsidR="00021FAC" w:rsidRPr="00290578" w:rsidRDefault="00021FAC" w:rsidP="009A05A0">
      <w:pPr>
        <w:rPr>
          <w:b/>
        </w:rPr>
      </w:pPr>
      <w:r w:rsidRPr="00290578">
        <w:t>The PT savings study and the HEA highlighted both qualitative and quantitative outcomes of CSG and HES participation in health and social areas. FGDs done during the PT savings study highlighted improved ability to meet school expenses, increased numbers of children attending school, improved quality and quantity of meals, and improved ability to participate in communal economic activities (for example, fish ponds, local cooperatives, etc.). The HEA also noted improvements in school attendance, with 18 percent of households reporting an increase in school attendance during the last year, 83 percent of households reporting access to healthcare for children, and 86 percent reporting children have basic clothing needs met. Finally, the HEA also highlighted a high percentage of married women reporting improved joint decision making with their husbands; most striking is the strong relationship observed between those who make decisions with their spouses and the households’ ability to save.</w:t>
      </w:r>
    </w:p>
    <w:p w:rsidR="00021FAC" w:rsidRPr="00290578" w:rsidRDefault="00021FAC" w:rsidP="00521E33">
      <w:pPr>
        <w:rPr>
          <w:rFonts w:cs="Arial"/>
          <w:szCs w:val="22"/>
        </w:rPr>
      </w:pPr>
      <w:r w:rsidRPr="00290578">
        <w:rPr>
          <w:rFonts w:cs="Arial"/>
          <w:szCs w:val="22"/>
        </w:rPr>
        <w:t xml:space="preserve">Recent data from </w:t>
      </w:r>
      <w:proofErr w:type="spellStart"/>
      <w:r w:rsidRPr="00290578">
        <w:rPr>
          <w:rFonts w:cs="Arial"/>
          <w:szCs w:val="22"/>
        </w:rPr>
        <w:t>Africare</w:t>
      </w:r>
      <w:proofErr w:type="spellEnd"/>
      <w:r w:rsidRPr="00290578">
        <w:rPr>
          <w:rFonts w:cs="Arial"/>
          <w:szCs w:val="22"/>
        </w:rPr>
        <w:t xml:space="preserve"> also points to creative use of CSG Social Funds, a built-in self-insurance mechanism, to improve adoption of formal health insurance. As of September 2014, 404 of </w:t>
      </w:r>
      <w:proofErr w:type="spellStart"/>
      <w:r w:rsidRPr="00290578">
        <w:rPr>
          <w:rFonts w:cs="Arial"/>
          <w:szCs w:val="22"/>
        </w:rPr>
        <w:t>Africare’s</w:t>
      </w:r>
      <w:proofErr w:type="spellEnd"/>
      <w:r w:rsidRPr="00290578">
        <w:rPr>
          <w:rFonts w:cs="Arial"/>
          <w:szCs w:val="22"/>
        </w:rPr>
        <w:t xml:space="preserve"> CSGs were using Social Funds to make Community Health Fund premium payments for MVC households. </w:t>
      </w:r>
    </w:p>
    <w:p w:rsidR="00021FAC" w:rsidRPr="00290578" w:rsidRDefault="00021FAC" w:rsidP="00285CF2">
      <w:pPr>
        <w:pStyle w:val="Heading3"/>
      </w:pPr>
      <w:bookmarkStart w:id="25" w:name="_Toc404177158"/>
      <w:r w:rsidRPr="00290578">
        <w:t>Reduced Isolation and Stigma</w:t>
      </w:r>
      <w:bookmarkEnd w:id="25"/>
    </w:p>
    <w:p w:rsidR="00021FAC" w:rsidRPr="00290578" w:rsidRDefault="00021FAC" w:rsidP="009A05A0">
      <w:r w:rsidRPr="00290578">
        <w:t>The PT savings study highlighted the use of mixed caregiver and non-caregiver groups to improve MVC social networks, reduce stigma of poverty, and improve leadership and voice.</w:t>
      </w:r>
    </w:p>
    <w:p w:rsidR="00021FAC" w:rsidRPr="00290578" w:rsidRDefault="00021FAC" w:rsidP="00285CF2">
      <w:pPr>
        <w:pStyle w:val="Heading3"/>
      </w:pPr>
      <w:bookmarkStart w:id="26" w:name="_Toc404177159"/>
      <w:r w:rsidRPr="00290578">
        <w:t>Financial Inclusion</w:t>
      </w:r>
      <w:bookmarkEnd w:id="26"/>
    </w:p>
    <w:p w:rsidR="00021FAC" w:rsidRPr="00290578" w:rsidRDefault="00021FAC" w:rsidP="0047503D">
      <w:r w:rsidRPr="00290578">
        <w:t xml:space="preserve">CSGs and mobile money (m-money) were big contributors to improved financial inclusion across PT implementation (see Table 2). Both studies note higher rates of financial inclusion. PT CSGs reach a population previously excluded from financial services. Exclusion from formal financial services remains a challenge; 4 of 15 groups sampled in the savings study do not have a single member with a bank, savings and credit cooperative, or microfinance institution account. Also, the increase in m-money use mirrors recent findings from the </w:t>
      </w:r>
      <w:proofErr w:type="spellStart"/>
      <w:r w:rsidRPr="00290578">
        <w:t>FinScope</w:t>
      </w:r>
      <w:proofErr w:type="spellEnd"/>
      <w:r w:rsidRPr="00290578">
        <w:t xml:space="preserve"> 2013 survey in which m-money use has surged since the </w:t>
      </w:r>
      <w:proofErr w:type="spellStart"/>
      <w:r w:rsidRPr="00290578">
        <w:t>FinScope</w:t>
      </w:r>
      <w:proofErr w:type="spellEnd"/>
      <w:r w:rsidRPr="00290578">
        <w:t xml:space="preserve"> 2007 survey. </w:t>
      </w:r>
    </w:p>
    <w:p w:rsidR="00021FAC" w:rsidRPr="00290578" w:rsidRDefault="00021FAC" w:rsidP="0047503D">
      <w:pPr>
        <w:pStyle w:val="TableTitle"/>
      </w:pPr>
      <w:bookmarkStart w:id="27" w:name="_Toc393363850"/>
      <w:bookmarkStart w:id="28" w:name="_Toc404171841"/>
      <w:r w:rsidRPr="00290578">
        <w:t xml:space="preserve">Table 2: </w:t>
      </w:r>
      <w:bookmarkEnd w:id="27"/>
      <w:r w:rsidRPr="00290578">
        <w:t>H</w:t>
      </w:r>
      <w:r w:rsidR="00070D6C">
        <w:t>ousehold</w:t>
      </w:r>
      <w:r w:rsidRPr="00290578">
        <w:t xml:space="preserve"> Financial Inclusion</w:t>
      </w:r>
      <w:bookmarkEnd w:id="28"/>
    </w:p>
    <w:tbl>
      <w:tblPr>
        <w:tblStyle w:val="TableGrid"/>
        <w:tblW w:w="0" w:type="auto"/>
        <w:tblLayout w:type="fixed"/>
        <w:tblLook w:val="04A0" w:firstRow="1" w:lastRow="0" w:firstColumn="1" w:lastColumn="0" w:noHBand="0" w:noVBand="1"/>
      </w:tblPr>
      <w:tblGrid>
        <w:gridCol w:w="2847"/>
        <w:gridCol w:w="1768"/>
        <w:gridCol w:w="1980"/>
        <w:gridCol w:w="1440"/>
        <w:gridCol w:w="1350"/>
      </w:tblGrid>
      <w:tr w:rsidR="00021FAC" w:rsidRPr="0047503D" w:rsidTr="0070774C">
        <w:trPr>
          <w:cnfStyle w:val="100000000000" w:firstRow="1" w:lastRow="0" w:firstColumn="0" w:lastColumn="0" w:oddVBand="0" w:evenVBand="0" w:oddHBand="0" w:evenHBand="0" w:firstRowFirstColumn="0" w:firstRowLastColumn="0" w:lastRowFirstColumn="0" w:lastRowLastColumn="0"/>
          <w:tblHeader/>
        </w:trPr>
        <w:tc>
          <w:tcPr>
            <w:tcW w:w="2847" w:type="dxa"/>
            <w:hideMark/>
          </w:tcPr>
          <w:p w:rsidR="00021FAC" w:rsidRPr="0047503D" w:rsidRDefault="00021FAC" w:rsidP="004C4EE7">
            <w:pPr>
              <w:pStyle w:val="TableText"/>
            </w:pPr>
            <w:r w:rsidRPr="0047503D">
              <w:t>Household</w:t>
            </w:r>
          </w:p>
        </w:tc>
        <w:tc>
          <w:tcPr>
            <w:tcW w:w="1768" w:type="dxa"/>
            <w:hideMark/>
          </w:tcPr>
          <w:p w:rsidR="00021FAC" w:rsidRPr="0047503D" w:rsidRDefault="00021FAC" w:rsidP="0070774C">
            <w:pPr>
              <w:pStyle w:val="TableText"/>
              <w:jc w:val="center"/>
            </w:pPr>
            <w:r w:rsidRPr="0047503D">
              <w:t>2014 Savings Study</w:t>
            </w:r>
            <w:r w:rsidRPr="0047503D">
              <w:br/>
              <w:t>(PT CSG)</w:t>
            </w:r>
          </w:p>
        </w:tc>
        <w:tc>
          <w:tcPr>
            <w:tcW w:w="1980" w:type="dxa"/>
            <w:hideMark/>
          </w:tcPr>
          <w:p w:rsidR="00021FAC" w:rsidRPr="0047503D" w:rsidRDefault="00021FAC" w:rsidP="0070774C">
            <w:pPr>
              <w:pStyle w:val="TableText"/>
              <w:jc w:val="center"/>
            </w:pPr>
            <w:r w:rsidRPr="0047503D">
              <w:t>2011 IMARISHA Baseline HEA</w:t>
            </w:r>
            <w:r w:rsidRPr="00471F79">
              <w:rPr>
                <w:rStyle w:val="FootnoteReference"/>
              </w:rPr>
              <w:footnoteReference w:id="3"/>
            </w:r>
          </w:p>
        </w:tc>
        <w:tc>
          <w:tcPr>
            <w:tcW w:w="1440" w:type="dxa"/>
          </w:tcPr>
          <w:p w:rsidR="00021FAC" w:rsidRPr="0047503D" w:rsidRDefault="00021FAC" w:rsidP="0070774C">
            <w:pPr>
              <w:pStyle w:val="TableText"/>
              <w:jc w:val="center"/>
            </w:pPr>
            <w:r w:rsidRPr="0047503D">
              <w:t xml:space="preserve">2014 IMARISHA </w:t>
            </w:r>
            <w:proofErr w:type="spellStart"/>
            <w:r w:rsidRPr="0047503D">
              <w:t>Endline</w:t>
            </w:r>
            <w:proofErr w:type="spellEnd"/>
            <w:r w:rsidRPr="0047503D">
              <w:t xml:space="preserve"> HEA</w:t>
            </w:r>
          </w:p>
        </w:tc>
        <w:tc>
          <w:tcPr>
            <w:tcW w:w="1350" w:type="dxa"/>
          </w:tcPr>
          <w:p w:rsidR="00021FAC" w:rsidRPr="0047503D" w:rsidRDefault="00021FAC" w:rsidP="0070774C">
            <w:pPr>
              <w:pStyle w:val="TableText"/>
              <w:jc w:val="center"/>
              <w:rPr>
                <w:highlight w:val="yellow"/>
              </w:rPr>
            </w:pPr>
            <w:proofErr w:type="spellStart"/>
            <w:r w:rsidRPr="0047503D">
              <w:t>FinScope</w:t>
            </w:r>
            <w:proofErr w:type="spellEnd"/>
            <w:r w:rsidRPr="0047503D">
              <w:t xml:space="preserve"> 2013</w:t>
            </w:r>
          </w:p>
        </w:tc>
      </w:tr>
      <w:tr w:rsidR="00021FAC" w:rsidRPr="0047503D" w:rsidTr="0070774C">
        <w:tc>
          <w:tcPr>
            <w:tcW w:w="2847" w:type="dxa"/>
          </w:tcPr>
          <w:p w:rsidR="00021FAC" w:rsidRPr="0047503D" w:rsidRDefault="00021FAC" w:rsidP="0047503D">
            <w:pPr>
              <w:pStyle w:val="TableText"/>
            </w:pPr>
            <w:r w:rsidRPr="0047503D">
              <w:t xml:space="preserve">Provides care to one/more MVC </w:t>
            </w:r>
          </w:p>
        </w:tc>
        <w:tc>
          <w:tcPr>
            <w:tcW w:w="1768" w:type="dxa"/>
          </w:tcPr>
          <w:p w:rsidR="00021FAC" w:rsidRPr="0047503D" w:rsidRDefault="00021FAC" w:rsidP="0070774C">
            <w:pPr>
              <w:pStyle w:val="TableText"/>
              <w:jc w:val="center"/>
            </w:pPr>
            <w:r w:rsidRPr="0047503D">
              <w:t>40%</w:t>
            </w:r>
          </w:p>
        </w:tc>
        <w:tc>
          <w:tcPr>
            <w:tcW w:w="1980" w:type="dxa"/>
          </w:tcPr>
          <w:p w:rsidR="00021FAC" w:rsidRPr="0047503D" w:rsidRDefault="00021FAC" w:rsidP="0070774C">
            <w:pPr>
              <w:pStyle w:val="TableText"/>
              <w:jc w:val="center"/>
            </w:pPr>
            <w:r w:rsidRPr="0047503D">
              <w:t>38%</w:t>
            </w:r>
          </w:p>
        </w:tc>
        <w:tc>
          <w:tcPr>
            <w:tcW w:w="1440" w:type="dxa"/>
          </w:tcPr>
          <w:p w:rsidR="00021FAC" w:rsidRPr="0047503D" w:rsidRDefault="00021FAC" w:rsidP="0070774C">
            <w:pPr>
              <w:pStyle w:val="TableText"/>
              <w:jc w:val="center"/>
            </w:pPr>
            <w:r w:rsidRPr="0047503D">
              <w:t>64%</w:t>
            </w:r>
          </w:p>
        </w:tc>
        <w:tc>
          <w:tcPr>
            <w:tcW w:w="1350" w:type="dxa"/>
          </w:tcPr>
          <w:p w:rsidR="00021FAC" w:rsidRPr="0047503D" w:rsidRDefault="00021FAC" w:rsidP="0070774C">
            <w:pPr>
              <w:pStyle w:val="TableText"/>
              <w:jc w:val="center"/>
              <w:rPr>
                <w:highlight w:val="yellow"/>
              </w:rPr>
            </w:pPr>
            <w:r w:rsidRPr="0047503D">
              <w:t>N/A</w:t>
            </w:r>
          </w:p>
        </w:tc>
      </w:tr>
      <w:tr w:rsidR="00021FAC" w:rsidRPr="0047503D" w:rsidTr="0070774C">
        <w:tc>
          <w:tcPr>
            <w:tcW w:w="2847" w:type="dxa"/>
            <w:hideMark/>
          </w:tcPr>
          <w:p w:rsidR="00021FAC" w:rsidRPr="0047503D" w:rsidRDefault="00021FAC" w:rsidP="0047503D">
            <w:pPr>
              <w:pStyle w:val="TableText"/>
            </w:pPr>
            <w:r w:rsidRPr="0047503D">
              <w:t>Financially excluded</w:t>
            </w:r>
          </w:p>
        </w:tc>
        <w:tc>
          <w:tcPr>
            <w:tcW w:w="1768" w:type="dxa"/>
          </w:tcPr>
          <w:p w:rsidR="00021FAC" w:rsidRPr="0047503D" w:rsidRDefault="00021FAC" w:rsidP="0070774C">
            <w:pPr>
              <w:pStyle w:val="TableText"/>
              <w:jc w:val="center"/>
            </w:pPr>
            <w:r w:rsidRPr="0047503D">
              <w:t>0%</w:t>
            </w:r>
          </w:p>
        </w:tc>
        <w:tc>
          <w:tcPr>
            <w:tcW w:w="1980" w:type="dxa"/>
            <w:hideMark/>
          </w:tcPr>
          <w:p w:rsidR="00021FAC" w:rsidRPr="0047503D" w:rsidRDefault="00021FAC" w:rsidP="0070774C">
            <w:pPr>
              <w:pStyle w:val="TableText"/>
              <w:jc w:val="center"/>
            </w:pPr>
            <w:r w:rsidRPr="0047503D">
              <w:t>75.5%</w:t>
            </w:r>
          </w:p>
        </w:tc>
        <w:tc>
          <w:tcPr>
            <w:tcW w:w="1440" w:type="dxa"/>
          </w:tcPr>
          <w:p w:rsidR="00021FAC" w:rsidRPr="0047503D" w:rsidRDefault="00021FAC" w:rsidP="0070774C">
            <w:pPr>
              <w:pStyle w:val="TableText"/>
              <w:jc w:val="center"/>
            </w:pPr>
            <w:r w:rsidRPr="0047503D">
              <w:t>23.5%</w:t>
            </w:r>
          </w:p>
        </w:tc>
        <w:tc>
          <w:tcPr>
            <w:tcW w:w="1350" w:type="dxa"/>
          </w:tcPr>
          <w:p w:rsidR="00021FAC" w:rsidRPr="0047503D" w:rsidRDefault="00021FAC" w:rsidP="0070774C">
            <w:pPr>
              <w:pStyle w:val="TableText"/>
              <w:jc w:val="center"/>
              <w:rPr>
                <w:highlight w:val="yellow"/>
              </w:rPr>
            </w:pPr>
            <w:r w:rsidRPr="0047503D">
              <w:t>26%</w:t>
            </w:r>
          </w:p>
        </w:tc>
      </w:tr>
      <w:tr w:rsidR="00021FAC" w:rsidRPr="0047503D" w:rsidTr="0070774C">
        <w:tc>
          <w:tcPr>
            <w:tcW w:w="2847" w:type="dxa"/>
            <w:hideMark/>
          </w:tcPr>
          <w:p w:rsidR="00021FAC" w:rsidRPr="0047503D" w:rsidRDefault="00021FAC" w:rsidP="0047503D">
            <w:pPr>
              <w:pStyle w:val="TableText"/>
            </w:pPr>
            <w:r w:rsidRPr="0047503D">
              <w:t>Participates in CSG</w:t>
            </w:r>
          </w:p>
        </w:tc>
        <w:tc>
          <w:tcPr>
            <w:tcW w:w="1768" w:type="dxa"/>
          </w:tcPr>
          <w:p w:rsidR="00021FAC" w:rsidRPr="0047503D" w:rsidRDefault="00021FAC" w:rsidP="0070774C">
            <w:pPr>
              <w:pStyle w:val="TableText"/>
              <w:jc w:val="center"/>
            </w:pPr>
            <w:r w:rsidRPr="0047503D">
              <w:t>100%</w:t>
            </w:r>
          </w:p>
        </w:tc>
        <w:tc>
          <w:tcPr>
            <w:tcW w:w="1980" w:type="dxa"/>
            <w:hideMark/>
          </w:tcPr>
          <w:p w:rsidR="00021FAC" w:rsidRPr="0047503D" w:rsidRDefault="00021FAC" w:rsidP="0070774C">
            <w:pPr>
              <w:pStyle w:val="TableText"/>
              <w:jc w:val="center"/>
            </w:pPr>
            <w:r w:rsidRPr="0047503D">
              <w:t>16.2%</w:t>
            </w:r>
          </w:p>
        </w:tc>
        <w:tc>
          <w:tcPr>
            <w:tcW w:w="1440" w:type="dxa"/>
          </w:tcPr>
          <w:p w:rsidR="00021FAC" w:rsidRPr="0047503D" w:rsidRDefault="00021FAC" w:rsidP="0070774C">
            <w:pPr>
              <w:pStyle w:val="TableText"/>
              <w:jc w:val="center"/>
            </w:pPr>
            <w:r w:rsidRPr="0047503D">
              <w:t>66.2%</w:t>
            </w:r>
          </w:p>
        </w:tc>
        <w:tc>
          <w:tcPr>
            <w:tcW w:w="1350" w:type="dxa"/>
          </w:tcPr>
          <w:p w:rsidR="00021FAC" w:rsidRPr="0047503D" w:rsidRDefault="00021FAC" w:rsidP="0070774C">
            <w:pPr>
              <w:pStyle w:val="TableText"/>
              <w:jc w:val="center"/>
              <w:rPr>
                <w:highlight w:val="yellow"/>
              </w:rPr>
            </w:pPr>
            <w:r w:rsidRPr="0047503D">
              <w:t>16%</w:t>
            </w:r>
          </w:p>
        </w:tc>
      </w:tr>
      <w:tr w:rsidR="00021FAC" w:rsidRPr="0047503D" w:rsidTr="0070774C">
        <w:tc>
          <w:tcPr>
            <w:tcW w:w="2847" w:type="dxa"/>
            <w:hideMark/>
          </w:tcPr>
          <w:p w:rsidR="00021FAC" w:rsidRPr="0047503D" w:rsidRDefault="00021FAC" w:rsidP="0047503D">
            <w:pPr>
              <w:pStyle w:val="TableText"/>
            </w:pPr>
            <w:r w:rsidRPr="0047503D">
              <w:t>Formal financial services/bank</w:t>
            </w:r>
          </w:p>
        </w:tc>
        <w:tc>
          <w:tcPr>
            <w:tcW w:w="1768" w:type="dxa"/>
          </w:tcPr>
          <w:p w:rsidR="00021FAC" w:rsidRPr="0047503D" w:rsidRDefault="00021FAC" w:rsidP="0070774C">
            <w:pPr>
              <w:pStyle w:val="TableText"/>
              <w:jc w:val="center"/>
            </w:pPr>
            <w:r w:rsidRPr="0047503D">
              <w:t>6%</w:t>
            </w:r>
          </w:p>
        </w:tc>
        <w:tc>
          <w:tcPr>
            <w:tcW w:w="1980" w:type="dxa"/>
            <w:hideMark/>
          </w:tcPr>
          <w:p w:rsidR="00021FAC" w:rsidRPr="0047503D" w:rsidRDefault="00021FAC" w:rsidP="0070774C">
            <w:pPr>
              <w:pStyle w:val="TableText"/>
              <w:jc w:val="center"/>
            </w:pPr>
            <w:r w:rsidRPr="0047503D">
              <w:t>7.2%</w:t>
            </w:r>
          </w:p>
        </w:tc>
        <w:tc>
          <w:tcPr>
            <w:tcW w:w="1440" w:type="dxa"/>
          </w:tcPr>
          <w:p w:rsidR="00021FAC" w:rsidRPr="0047503D" w:rsidRDefault="00021FAC" w:rsidP="0070774C">
            <w:pPr>
              <w:pStyle w:val="TableText"/>
              <w:jc w:val="center"/>
            </w:pPr>
            <w:r w:rsidRPr="0047503D">
              <w:t>3.2%</w:t>
            </w:r>
          </w:p>
        </w:tc>
        <w:tc>
          <w:tcPr>
            <w:tcW w:w="1350" w:type="dxa"/>
          </w:tcPr>
          <w:p w:rsidR="00021FAC" w:rsidRPr="0047503D" w:rsidRDefault="00021FAC" w:rsidP="0070774C">
            <w:pPr>
              <w:pStyle w:val="TableText"/>
              <w:jc w:val="center"/>
            </w:pPr>
            <w:r w:rsidRPr="0047503D">
              <w:t>14%</w:t>
            </w:r>
          </w:p>
        </w:tc>
      </w:tr>
      <w:tr w:rsidR="00021FAC" w:rsidRPr="0047503D" w:rsidTr="0070774C">
        <w:tc>
          <w:tcPr>
            <w:tcW w:w="2847" w:type="dxa"/>
          </w:tcPr>
          <w:p w:rsidR="00021FAC" w:rsidRPr="0047503D" w:rsidRDefault="00021FAC" w:rsidP="0047503D">
            <w:pPr>
              <w:pStyle w:val="TableText"/>
            </w:pPr>
            <w:r w:rsidRPr="0047503D">
              <w:t>Uses m-money</w:t>
            </w:r>
          </w:p>
        </w:tc>
        <w:tc>
          <w:tcPr>
            <w:tcW w:w="1768" w:type="dxa"/>
          </w:tcPr>
          <w:p w:rsidR="00021FAC" w:rsidRPr="0047503D" w:rsidRDefault="00021FAC" w:rsidP="0070774C">
            <w:pPr>
              <w:pStyle w:val="TableText"/>
              <w:jc w:val="center"/>
            </w:pPr>
            <w:r w:rsidRPr="0047503D">
              <w:t>38%</w:t>
            </w:r>
          </w:p>
        </w:tc>
        <w:tc>
          <w:tcPr>
            <w:tcW w:w="1980" w:type="dxa"/>
          </w:tcPr>
          <w:p w:rsidR="00021FAC" w:rsidRPr="0047503D" w:rsidRDefault="00021FAC" w:rsidP="0070774C">
            <w:pPr>
              <w:pStyle w:val="TableText"/>
              <w:jc w:val="center"/>
            </w:pPr>
            <w:r w:rsidRPr="0047503D">
              <w:t>n/a</w:t>
            </w:r>
          </w:p>
        </w:tc>
        <w:tc>
          <w:tcPr>
            <w:tcW w:w="1440" w:type="dxa"/>
          </w:tcPr>
          <w:p w:rsidR="00021FAC" w:rsidRPr="0047503D" w:rsidRDefault="00021FAC" w:rsidP="0070774C">
            <w:pPr>
              <w:pStyle w:val="TableText"/>
              <w:jc w:val="center"/>
            </w:pPr>
            <w:r w:rsidRPr="0047503D">
              <w:t>62.7%</w:t>
            </w:r>
          </w:p>
        </w:tc>
        <w:tc>
          <w:tcPr>
            <w:tcW w:w="1350" w:type="dxa"/>
          </w:tcPr>
          <w:p w:rsidR="00021FAC" w:rsidRPr="0047503D" w:rsidRDefault="00021FAC" w:rsidP="0070774C">
            <w:pPr>
              <w:pStyle w:val="TableText"/>
              <w:jc w:val="center"/>
            </w:pPr>
            <w:r w:rsidRPr="0047503D">
              <w:t>49%</w:t>
            </w:r>
          </w:p>
        </w:tc>
      </w:tr>
    </w:tbl>
    <w:p w:rsidR="00021FAC" w:rsidRPr="00290578" w:rsidRDefault="00021FAC" w:rsidP="00FB3E85">
      <w:pPr>
        <w:pStyle w:val="Heading2"/>
      </w:pPr>
      <w:bookmarkStart w:id="29" w:name="_Toc404177160"/>
      <w:r w:rsidRPr="00290578">
        <w:lastRenderedPageBreak/>
        <w:t>Policy and Program Implications</w:t>
      </w:r>
      <w:bookmarkEnd w:id="29"/>
    </w:p>
    <w:p w:rsidR="00021FAC" w:rsidRPr="00290578" w:rsidRDefault="00021FAC" w:rsidP="00FB3E85">
      <w:r w:rsidRPr="00290578">
        <w:t xml:space="preserve">CSGs are an important informal institution promoted by Tanzanian NGOs. Some local government authorities (LGAs) are starting to facilitate </w:t>
      </w:r>
      <w:proofErr w:type="gramStart"/>
      <w:r w:rsidRPr="00290578">
        <w:t>CSGs,</w:t>
      </w:r>
      <w:proofErr w:type="gramEnd"/>
      <w:r w:rsidRPr="00290578">
        <w:t xml:space="preserve"> and the Tanzania Social Action Fund (TASAF) plans to include savings programs within the livelihoods enhancement phase of its Productive Social Safety Net program. As the public sector continues to see the value of CSGs, it is important to take into account lessons learned from previous implementers, including the recent publishing of “</w:t>
      </w:r>
      <w:proofErr w:type="gramStart"/>
      <w:r w:rsidRPr="00290578">
        <w:t>do</w:t>
      </w:r>
      <w:proofErr w:type="gramEnd"/>
      <w:r w:rsidRPr="00290578">
        <w:t xml:space="preserve"> no harm” principles for CSGs.</w:t>
      </w:r>
      <w:r w:rsidRPr="00290578">
        <w:rPr>
          <w:rStyle w:val="FootnoteReference"/>
          <w:rFonts w:cs="Arial"/>
          <w:szCs w:val="22"/>
        </w:rPr>
        <w:footnoteReference w:id="4"/>
      </w:r>
      <w:r w:rsidRPr="00290578">
        <w:t xml:space="preserve"> Important considerations for future programming include:</w:t>
      </w:r>
    </w:p>
    <w:p w:rsidR="00021FAC" w:rsidRPr="00290578" w:rsidRDefault="00021FAC" w:rsidP="00FB3E85">
      <w:pPr>
        <w:pStyle w:val="Bullet1"/>
      </w:pPr>
      <w:r w:rsidRPr="00290578">
        <w:t>Using incentivized volunteers to incubate the creation of CSGs, but incorporating better long-term planning, so that as groups mature and needs evolve, they create internal CSG payments or incentives to meet facilitation needs.</w:t>
      </w:r>
    </w:p>
    <w:p w:rsidR="00021FAC" w:rsidRPr="00290578" w:rsidRDefault="00021FAC" w:rsidP="00FB3E85">
      <w:pPr>
        <w:pStyle w:val="Bullet1"/>
      </w:pPr>
      <w:r w:rsidRPr="00290578">
        <w:t>Implementers must ensure CSGs remain fully owned and managed by members for themselves, not just to meet donor, programmatic, or government targets.</w:t>
      </w:r>
    </w:p>
    <w:p w:rsidR="00021FAC" w:rsidRPr="00290578" w:rsidRDefault="00021FAC" w:rsidP="00FB3E85">
      <w:pPr>
        <w:pStyle w:val="BulletLast"/>
      </w:pPr>
      <w:r w:rsidRPr="00290578">
        <w:t xml:space="preserve">New evidence of what is working should be shared with practitioners, policy makers, and donors. This includes continuing research on linkages between social protection, cash transfer, </w:t>
      </w:r>
      <w:proofErr w:type="gramStart"/>
      <w:r w:rsidRPr="00290578">
        <w:t>cash</w:t>
      </w:r>
      <w:proofErr w:type="gramEnd"/>
      <w:r w:rsidRPr="00290578">
        <w:t xml:space="preserve"> for work, savings, and livelihood enhancement opportunities.</w:t>
      </w:r>
    </w:p>
    <w:p w:rsidR="00021FAC" w:rsidRPr="00FB3E85" w:rsidRDefault="00021FAC" w:rsidP="00285CF2">
      <w:pPr>
        <w:pStyle w:val="Heading3"/>
      </w:pPr>
      <w:bookmarkStart w:id="30" w:name="_Toc404177161"/>
      <w:r w:rsidRPr="00FB3E85">
        <w:t>CSG Facilitation and Sustainability</w:t>
      </w:r>
      <w:bookmarkEnd w:id="30"/>
    </w:p>
    <w:p w:rsidR="00021FAC" w:rsidRPr="00290578" w:rsidRDefault="00021FAC" w:rsidP="00FB3E85">
      <w:r w:rsidRPr="00290578">
        <w:t xml:space="preserve">Currently, volunteers operating at </w:t>
      </w:r>
      <w:proofErr w:type="gramStart"/>
      <w:r w:rsidRPr="00290578">
        <w:t>district,</w:t>
      </w:r>
      <w:proofErr w:type="gramEnd"/>
      <w:r w:rsidRPr="00290578">
        <w:t xml:space="preserve"> ward, and village levels facilitate CSGs. PT selected volunteers based on their strong community linkages, understanding of MVC and HIV, and relationship with LGAs. PT partners ensure volunteers are trained in CSG methodology, have necessary tools to manage groups, and provide appropriate oversight. Volunteers receive monthly stipends in recognition of their time and to cover small expenses, including transportation. Stipends/incentives vary greatly across partners, from the provision of a bicycle to TSh150</w:t>
      </w:r>
      <w:proofErr w:type="gramStart"/>
      <w:r w:rsidRPr="00290578">
        <w:t>,000</w:t>
      </w:r>
      <w:proofErr w:type="gramEnd"/>
      <w:r w:rsidRPr="00290578">
        <w:t xml:space="preserve"> monthly for volunteers with significant targets. As the PT program winds down, the stipends will also end. This change poses sustainability challenges for CSGs who rely on those volunteers for advice, knowledge, or assistance in dispute resolution. Implementers cannot expect volunteers to continue out of a sense of duty or good will.</w:t>
      </w:r>
    </w:p>
    <w:p w:rsidR="00021FAC" w:rsidRPr="00290578" w:rsidRDefault="00021FAC" w:rsidP="00521E33">
      <w:pPr>
        <w:rPr>
          <w:rFonts w:cs="Arial"/>
          <w:szCs w:val="22"/>
        </w:rPr>
      </w:pPr>
      <w:r w:rsidRPr="00290578">
        <w:rPr>
          <w:rFonts w:cs="Arial"/>
          <w:szCs w:val="22"/>
        </w:rPr>
        <w:t xml:space="preserve">Thus, there is a need to consider a fee-for-service model, whereby volunteer support migrates to CSGs through a fee financed directly by groups. This model has been tested by other international NGOs such as CRS and CARE, and has potential for MVC programming. </w:t>
      </w:r>
    </w:p>
    <w:p w:rsidR="00021FAC" w:rsidRPr="00285CF2" w:rsidRDefault="00021FAC" w:rsidP="00285CF2">
      <w:pPr>
        <w:pStyle w:val="Heading3"/>
        <w:rPr>
          <w:smallCaps w:val="0"/>
        </w:rPr>
      </w:pPr>
      <w:bookmarkStart w:id="31" w:name="_Toc404177162"/>
      <w:r w:rsidRPr="00285CF2">
        <w:rPr>
          <w:rStyle w:val="Heading3Char"/>
          <w:smallCaps/>
          <w:sz w:val="28"/>
          <w:szCs w:val="26"/>
        </w:rPr>
        <w:t>CSGs for Members or Donors/Governments</w:t>
      </w:r>
      <w:bookmarkEnd w:id="31"/>
      <w:r w:rsidRPr="00285CF2">
        <w:rPr>
          <w:smallCaps w:val="0"/>
        </w:rPr>
        <w:t xml:space="preserve"> </w:t>
      </w:r>
    </w:p>
    <w:p w:rsidR="00021FAC" w:rsidRPr="00290578" w:rsidRDefault="00021FAC" w:rsidP="00FB3E85">
      <w:r w:rsidRPr="00290578">
        <w:t>As noted at the September 2014 Small Enterprise Education and Promotion (SEEP) Network Conference, CSGs are excellent platforms for other services and messaging, but how many extras are too many? Could add-ons limit CSG capacity to self-manage? Could provider</w:t>
      </w:r>
      <w:r w:rsidR="00910490">
        <w:br/>
      </w:r>
      <w:r w:rsidRPr="00290578">
        <w:t>add-ons compromise CSG practices and principles? These are questions for consideration, particularly as donors and governments increase interest in the benefits of CSGs and tie them to other programmatic targets and goals. It is important to keep in mind that effective CSGs are self-selected, managed by members, and ultimately evolve into community institutions that provide services demanded by the membership. With that in mind, these recommendations may be helpful:</w:t>
      </w:r>
    </w:p>
    <w:p w:rsidR="00021FAC" w:rsidRPr="00290578" w:rsidRDefault="00021FAC" w:rsidP="00FB3E85">
      <w:pPr>
        <w:pStyle w:val="Bullet1"/>
      </w:pPr>
      <w:r w:rsidRPr="00290578">
        <w:t xml:space="preserve">Help CSGs make good choices if they decide to add other activities. </w:t>
      </w:r>
    </w:p>
    <w:p w:rsidR="00021FAC" w:rsidRPr="00290578" w:rsidRDefault="00021FAC" w:rsidP="00FB3E85">
      <w:pPr>
        <w:pStyle w:val="Bullet1"/>
      </w:pPr>
      <w:r w:rsidRPr="00290578">
        <w:lastRenderedPageBreak/>
        <w:t>If you introduce other activities, remember that your suggestion may be taken as a requirement; do not underestimate your influence over the group.</w:t>
      </w:r>
    </w:p>
    <w:p w:rsidR="00021FAC" w:rsidRPr="00290578" w:rsidRDefault="00021FAC" w:rsidP="00FB3E85">
      <w:pPr>
        <w:pStyle w:val="Bullet1"/>
        <w:rPr>
          <w:szCs w:val="22"/>
        </w:rPr>
      </w:pPr>
      <w:r w:rsidRPr="00290578">
        <w:rPr>
          <w:szCs w:val="22"/>
        </w:rPr>
        <w:t>Activities that put the CSG’s financial resources at risk should be avoided, including contracts between CSGs and financial institutions that are likely to result in loans guaranteed by the savings group.</w:t>
      </w:r>
    </w:p>
    <w:p w:rsidR="00021FAC" w:rsidRPr="00290578" w:rsidRDefault="00021FAC" w:rsidP="00FB3E85">
      <w:pPr>
        <w:pStyle w:val="BulletLast"/>
      </w:pPr>
      <w:r w:rsidRPr="00290578">
        <w:t>The 3–5 years of a typical CSG project are not long enough to measure the long-term effects of innovations. Plan realistically for positive outcomes beyond the end of your assistance.</w:t>
      </w:r>
      <w:r w:rsidRPr="00290578">
        <w:rPr>
          <w:rStyle w:val="FootnoteReference"/>
          <w:rFonts w:cs="Arial"/>
          <w:szCs w:val="22"/>
        </w:rPr>
        <w:footnoteReference w:id="5"/>
      </w:r>
    </w:p>
    <w:p w:rsidR="00521E33" w:rsidRPr="00290578" w:rsidRDefault="00521E33" w:rsidP="00285CF2">
      <w:pPr>
        <w:pStyle w:val="Heading3"/>
      </w:pPr>
      <w:bookmarkStart w:id="32" w:name="_Toc404177163"/>
      <w:r w:rsidRPr="00290578">
        <w:t>Continuing to Build the Evidence Base</w:t>
      </w:r>
      <w:bookmarkEnd w:id="32"/>
      <w:r w:rsidRPr="00290578">
        <w:t xml:space="preserve"> </w:t>
      </w:r>
    </w:p>
    <w:p w:rsidR="00521E33" w:rsidRPr="00290578" w:rsidRDefault="00521E33" w:rsidP="00521E33">
      <w:pPr>
        <w:rPr>
          <w:rFonts w:cs="Arial"/>
          <w:szCs w:val="22"/>
        </w:rPr>
      </w:pPr>
      <w:r w:rsidRPr="00290578">
        <w:rPr>
          <w:rFonts w:cs="Arial"/>
          <w:szCs w:val="22"/>
        </w:rPr>
        <w:t xml:space="preserve">There is continued need for research on informal finance, the role it plays in helping very poor households manage their daily lives, and how it can be systematized, improved, and linked with other systems—cash transfers or mobile payments—to enable poor households to be positive elements of change in their own lives. </w:t>
      </w:r>
    </w:p>
    <w:p w:rsidR="00521E33" w:rsidRPr="00290578" w:rsidRDefault="00521E33" w:rsidP="00FB3E85">
      <w:pPr>
        <w:pStyle w:val="Heading2"/>
      </w:pPr>
      <w:bookmarkStart w:id="33" w:name="_Toc404177164"/>
      <w:r w:rsidRPr="00290578">
        <w:t>Conclusion</w:t>
      </w:r>
      <w:bookmarkEnd w:id="33"/>
    </w:p>
    <w:p w:rsidR="00521E33" w:rsidRPr="00290578" w:rsidRDefault="00521E33" w:rsidP="00521E33">
      <w:pPr>
        <w:rPr>
          <w:rFonts w:cs="Arial"/>
          <w:szCs w:val="22"/>
        </w:rPr>
      </w:pPr>
      <w:r w:rsidRPr="00290578">
        <w:rPr>
          <w:rFonts w:cs="Arial"/>
          <w:szCs w:val="22"/>
        </w:rPr>
        <w:t>Based on the studies in Tanzania with MVC households, participation in CSGs and the discipline of saving are having a tremendous impact on poor households and on improvements in the lives of children and their caregivers. Donors and governments should continue to invest in programs that support vulnerable household inclusion in CSGs. As TASAF’s programming expands to cover all of Tanzania and expands into livelihood enhancements, including savings, there will be a need to consider the mechanisms by which cash transfer recipients learn about savings, and self-select to join and participate in CSGs as a mechanism for improving the household’s economic status and resilience. There will also be a need for more evidence and the development of tools that help implementers manage successful participation and program impacts.</w:t>
      </w:r>
    </w:p>
    <w:p w:rsidR="00471F79" w:rsidRDefault="00471F79">
      <w:pPr>
        <w:spacing w:after="0"/>
        <w:rPr>
          <w:rFonts w:ascii="HelveticaNeueLT Std" w:hAnsi="HelveticaNeueLT Std"/>
          <w:caps/>
          <w:color w:val="2B5A85"/>
          <w:sz w:val="28"/>
          <w:szCs w:val="26"/>
        </w:rPr>
      </w:pPr>
      <w:r>
        <w:br w:type="page"/>
      </w:r>
    </w:p>
    <w:p w:rsidR="00521E33" w:rsidRPr="00290578" w:rsidRDefault="00521E33" w:rsidP="00FB3E85">
      <w:pPr>
        <w:pStyle w:val="Heading2"/>
      </w:pPr>
      <w:bookmarkStart w:id="34" w:name="_Toc404177165"/>
      <w:r w:rsidRPr="00290578">
        <w:lastRenderedPageBreak/>
        <w:t>References</w:t>
      </w:r>
      <w:bookmarkEnd w:id="34"/>
    </w:p>
    <w:p w:rsidR="00521E33" w:rsidRPr="00290578" w:rsidRDefault="00521E33" w:rsidP="00FB3E85">
      <w:proofErr w:type="spellStart"/>
      <w:proofErr w:type="gramStart"/>
      <w:r w:rsidRPr="00290578">
        <w:t>FinScope</w:t>
      </w:r>
      <w:proofErr w:type="spellEnd"/>
      <w:r w:rsidRPr="00290578">
        <w:t>.</w:t>
      </w:r>
      <w:proofErr w:type="gramEnd"/>
      <w:r w:rsidRPr="00290578">
        <w:t xml:space="preserve"> (April 2014). </w:t>
      </w:r>
      <w:proofErr w:type="spellStart"/>
      <w:r w:rsidRPr="00471F79">
        <w:rPr>
          <w:i/>
        </w:rPr>
        <w:t>FinScope</w:t>
      </w:r>
      <w:proofErr w:type="spellEnd"/>
      <w:r w:rsidRPr="00471F79">
        <w:rPr>
          <w:i/>
        </w:rPr>
        <w:t xml:space="preserve"> 2013 </w:t>
      </w:r>
      <w:proofErr w:type="gramStart"/>
      <w:r w:rsidRPr="00471F79">
        <w:rPr>
          <w:i/>
        </w:rPr>
        <w:t>launch</w:t>
      </w:r>
      <w:proofErr w:type="gramEnd"/>
      <w:r w:rsidRPr="00471F79">
        <w:rPr>
          <w:i/>
        </w:rPr>
        <w:t xml:space="preserve"> presentation</w:t>
      </w:r>
      <w:r w:rsidRPr="00290578">
        <w:t xml:space="preserve">. </w:t>
      </w:r>
    </w:p>
    <w:p w:rsidR="007B7E4E" w:rsidRDefault="007B7E4E" w:rsidP="00FB3E85">
      <w:proofErr w:type="gramStart"/>
      <w:r>
        <w:t>IMARISHA Project.</w:t>
      </w:r>
      <w:proofErr w:type="gramEnd"/>
      <w:r>
        <w:t xml:space="preserve"> (July 2012</w:t>
      </w:r>
      <w:r w:rsidRPr="00290578">
        <w:t xml:space="preserve">). </w:t>
      </w:r>
      <w:proofErr w:type="gramStart"/>
      <w:r>
        <w:rPr>
          <w:i/>
        </w:rPr>
        <w:t>IMARISHA baseline</w:t>
      </w:r>
      <w:r w:rsidRPr="00471F79">
        <w:rPr>
          <w:i/>
        </w:rPr>
        <w:t xml:space="preserve"> household economic assessment</w:t>
      </w:r>
      <w:r>
        <w:t>.</w:t>
      </w:r>
      <w:proofErr w:type="gramEnd"/>
      <w:r>
        <w:t xml:space="preserve"> </w:t>
      </w:r>
      <w:proofErr w:type="gramStart"/>
      <w:r>
        <w:t>USAID.</w:t>
      </w:r>
      <w:proofErr w:type="gramEnd"/>
    </w:p>
    <w:p w:rsidR="00521E33" w:rsidRPr="00290578" w:rsidRDefault="00521E33" w:rsidP="00FB3E85">
      <w:proofErr w:type="gramStart"/>
      <w:r w:rsidRPr="00290578">
        <w:t>IMARISHA Project.</w:t>
      </w:r>
      <w:proofErr w:type="gramEnd"/>
      <w:r w:rsidRPr="00290578">
        <w:t xml:space="preserve"> (November 2014). </w:t>
      </w:r>
      <w:proofErr w:type="gramStart"/>
      <w:r w:rsidRPr="00471F79">
        <w:rPr>
          <w:i/>
        </w:rPr>
        <w:t xml:space="preserve">IMARISHA </w:t>
      </w:r>
      <w:proofErr w:type="spellStart"/>
      <w:r w:rsidRPr="00471F79">
        <w:rPr>
          <w:i/>
        </w:rPr>
        <w:t>endline</w:t>
      </w:r>
      <w:proofErr w:type="spellEnd"/>
      <w:r w:rsidRPr="00471F79">
        <w:rPr>
          <w:i/>
        </w:rPr>
        <w:t xml:space="preserve"> household economic assessment</w:t>
      </w:r>
      <w:r w:rsidRPr="00290578">
        <w:t>.</w:t>
      </w:r>
      <w:proofErr w:type="gramEnd"/>
      <w:r w:rsidRPr="00290578">
        <w:t xml:space="preserve"> </w:t>
      </w:r>
      <w:proofErr w:type="gramStart"/>
      <w:r w:rsidRPr="00290578">
        <w:t>USAID.</w:t>
      </w:r>
      <w:proofErr w:type="gramEnd"/>
    </w:p>
    <w:p w:rsidR="00521E33" w:rsidRPr="00290578" w:rsidRDefault="00521E33" w:rsidP="00FB3E85">
      <w:r w:rsidRPr="00290578">
        <w:t xml:space="preserve">Matthews, B., &amp; Green, C. (July 2014). </w:t>
      </w:r>
      <w:r w:rsidRPr="00471F79">
        <w:rPr>
          <w:i/>
        </w:rPr>
        <w:t>Pamoja Tuwalee community savings group study: A review of practice and innovations in community savings groups aimed at supporting most vulnerable children in Tanzania</w:t>
      </w:r>
      <w:r w:rsidRPr="00290578">
        <w:t xml:space="preserve">. </w:t>
      </w:r>
      <w:proofErr w:type="gramStart"/>
      <w:r w:rsidRPr="00290578">
        <w:t xml:space="preserve">DAI, </w:t>
      </w:r>
      <w:proofErr w:type="spellStart"/>
      <w:r w:rsidRPr="00290578">
        <w:t>Africare</w:t>
      </w:r>
      <w:proofErr w:type="spellEnd"/>
      <w:r w:rsidRPr="00290578">
        <w:t>, Pact, FHI360, and WEI.</w:t>
      </w:r>
      <w:proofErr w:type="gramEnd"/>
      <w:r w:rsidRPr="00290578">
        <w:t xml:space="preserve"> </w:t>
      </w:r>
    </w:p>
    <w:p w:rsidR="00ED4644" w:rsidRPr="00290578" w:rsidRDefault="00ED4644" w:rsidP="00ED4644">
      <w:r w:rsidRPr="00290578">
        <w:t xml:space="preserve">SEEP Network. (November 2014). </w:t>
      </w:r>
      <w:r w:rsidRPr="00471F79">
        <w:rPr>
          <w:i/>
        </w:rPr>
        <w:t>Do no harm: Guidelines for promoting safe and inclusive savings groups</w:t>
      </w:r>
      <w:r w:rsidRPr="00290578">
        <w:t>.</w:t>
      </w:r>
    </w:p>
    <w:p w:rsidR="00521E33" w:rsidRPr="00290578" w:rsidRDefault="00521E33" w:rsidP="00521E33">
      <w:pPr>
        <w:rPr>
          <w:rFonts w:cs="Arial"/>
          <w:b/>
          <w:szCs w:val="22"/>
        </w:rPr>
      </w:pPr>
      <w:r w:rsidRPr="00290578">
        <w:rPr>
          <w:rFonts w:cs="Arial"/>
          <w:b/>
          <w:szCs w:val="22"/>
        </w:rPr>
        <w:br w:type="page"/>
      </w:r>
    </w:p>
    <w:p w:rsidR="00521E33" w:rsidRDefault="00521E33" w:rsidP="00521E33">
      <w:pPr>
        <w:sectPr w:rsidR="00521E33" w:rsidSect="00790FB9">
          <w:footerReference w:type="default" r:id="rId22"/>
          <w:type w:val="oddPage"/>
          <w:pgSz w:w="12240" w:h="15840" w:code="1"/>
          <w:pgMar w:top="1440" w:right="1440" w:bottom="1440" w:left="1440" w:header="720" w:footer="360" w:gutter="0"/>
          <w:pgNumType w:start="1"/>
          <w:cols w:space="720"/>
        </w:sectPr>
      </w:pPr>
    </w:p>
    <w:p w:rsidR="00521E33" w:rsidRPr="00290578" w:rsidRDefault="00521E33" w:rsidP="0063523D">
      <w:pPr>
        <w:pStyle w:val="Heading2"/>
      </w:pPr>
      <w:bookmarkStart w:id="35" w:name="_Toc393363845"/>
      <w:bookmarkStart w:id="36" w:name="_Toc404177166"/>
      <w:r w:rsidRPr="00290578">
        <w:lastRenderedPageBreak/>
        <w:t xml:space="preserve">Annex </w:t>
      </w:r>
      <w:r w:rsidR="00103759">
        <w:t>1</w:t>
      </w:r>
      <w:r w:rsidRPr="00290578">
        <w:t>:  Comparison of Different CSG Methodologies</w:t>
      </w:r>
      <w:bookmarkEnd w:id="35"/>
      <w:r w:rsidRPr="00687C23">
        <w:rPr>
          <w:rStyle w:val="FootnoteReference"/>
          <w:rFonts w:cs="Arial"/>
          <w:szCs w:val="28"/>
        </w:rPr>
        <w:footnoteReference w:id="6"/>
      </w:r>
      <w:bookmarkEnd w:id="36"/>
    </w:p>
    <w:tbl>
      <w:tblPr>
        <w:tblStyle w:val="TableGrid"/>
        <w:tblW w:w="5000" w:type="pct"/>
        <w:tblLook w:val="04A0" w:firstRow="1" w:lastRow="0" w:firstColumn="1" w:lastColumn="0" w:noHBand="0" w:noVBand="1"/>
      </w:tblPr>
      <w:tblGrid>
        <w:gridCol w:w="505"/>
        <w:gridCol w:w="1927"/>
        <w:gridCol w:w="1685"/>
        <w:gridCol w:w="57"/>
        <w:gridCol w:w="1842"/>
        <w:gridCol w:w="2317"/>
        <w:gridCol w:w="2240"/>
        <w:gridCol w:w="1897"/>
      </w:tblGrid>
      <w:tr w:rsidR="00521E33" w:rsidRPr="00290578" w:rsidTr="0063523D">
        <w:trPr>
          <w:cnfStyle w:val="100000000000" w:firstRow="1" w:lastRow="0" w:firstColumn="0" w:lastColumn="0" w:oddVBand="0" w:evenVBand="0" w:oddHBand="0" w:evenHBand="0" w:firstRowFirstColumn="0" w:firstRowLastColumn="0" w:lastRowFirstColumn="0" w:lastRowLastColumn="0"/>
          <w:tblHeader/>
        </w:trPr>
        <w:tc>
          <w:tcPr>
            <w:tcW w:w="2731" w:type="dxa"/>
            <w:gridSpan w:val="2"/>
            <w:vMerge w:val="restart"/>
          </w:tcPr>
          <w:p w:rsidR="00521E33" w:rsidRPr="00290578" w:rsidRDefault="00521E33" w:rsidP="0063523D">
            <w:pPr>
              <w:pStyle w:val="TableText"/>
              <w:rPr>
                <w:rFonts w:eastAsia="Calibri"/>
                <w:b w:val="0"/>
              </w:rPr>
            </w:pPr>
            <w:r w:rsidRPr="00290578">
              <w:t>Characteristics</w:t>
            </w:r>
          </w:p>
        </w:tc>
        <w:tc>
          <w:tcPr>
            <w:tcW w:w="11165" w:type="dxa"/>
            <w:gridSpan w:val="6"/>
            <w:tcBorders>
              <w:bottom w:val="single" w:sz="4" w:space="0" w:color="2B5A85"/>
            </w:tcBorders>
          </w:tcPr>
          <w:p w:rsidR="00521E33" w:rsidRPr="00290578" w:rsidRDefault="00521E33" w:rsidP="0063523D">
            <w:pPr>
              <w:pStyle w:val="TableText"/>
              <w:rPr>
                <w:b w:val="0"/>
              </w:rPr>
            </w:pPr>
            <w:r w:rsidRPr="00290578">
              <w:t>CSG Methodology</w:t>
            </w:r>
          </w:p>
        </w:tc>
      </w:tr>
      <w:tr w:rsidR="00521E33" w:rsidRPr="00290578" w:rsidTr="0063523D">
        <w:trPr>
          <w:cnfStyle w:val="100000000000" w:firstRow="1" w:lastRow="0" w:firstColumn="0" w:lastColumn="0" w:oddVBand="0" w:evenVBand="0" w:oddHBand="0" w:evenHBand="0" w:firstRowFirstColumn="0" w:firstRowLastColumn="0" w:lastRowFirstColumn="0" w:lastRowLastColumn="0"/>
          <w:tblHeader/>
        </w:trPr>
        <w:tc>
          <w:tcPr>
            <w:tcW w:w="2731" w:type="dxa"/>
            <w:gridSpan w:val="2"/>
            <w:vMerge/>
          </w:tcPr>
          <w:p w:rsidR="00521E33" w:rsidRPr="00290578" w:rsidRDefault="00521E33" w:rsidP="0063523D">
            <w:pPr>
              <w:pStyle w:val="TableText"/>
              <w:rPr>
                <w:rFonts w:eastAsia="Calibri"/>
                <w:b w:val="0"/>
              </w:rPr>
            </w:pPr>
          </w:p>
        </w:tc>
        <w:tc>
          <w:tcPr>
            <w:tcW w:w="3623" w:type="dxa"/>
            <w:gridSpan w:val="3"/>
            <w:tcBorders>
              <w:top w:val="single" w:sz="4" w:space="0" w:color="2B5A85"/>
            </w:tcBorders>
          </w:tcPr>
          <w:p w:rsidR="00521E33" w:rsidRPr="00290578" w:rsidRDefault="00521E33" w:rsidP="0063523D">
            <w:pPr>
              <w:pStyle w:val="TableText"/>
              <w:rPr>
                <w:rFonts w:eastAsia="Calibri"/>
                <w:b w:val="0"/>
              </w:rPr>
            </w:pPr>
            <w:r w:rsidRPr="00290578">
              <w:t>Savings and Internal Lending Communities (SILC)</w:t>
            </w:r>
          </w:p>
        </w:tc>
        <w:tc>
          <w:tcPr>
            <w:tcW w:w="2721" w:type="dxa"/>
            <w:tcBorders>
              <w:top w:val="single" w:sz="4" w:space="0" w:color="2B5A85"/>
            </w:tcBorders>
          </w:tcPr>
          <w:p w:rsidR="00521E33" w:rsidRPr="00290578" w:rsidRDefault="00521E33" w:rsidP="0063523D">
            <w:pPr>
              <w:pStyle w:val="TableText"/>
              <w:rPr>
                <w:rFonts w:eastAsia="Calibri"/>
                <w:b w:val="0"/>
              </w:rPr>
            </w:pPr>
            <w:r w:rsidRPr="00290578">
              <w:t>Livelihoods Improvement for MVC Care (LIMCA)</w:t>
            </w:r>
          </w:p>
        </w:tc>
        <w:tc>
          <w:tcPr>
            <w:tcW w:w="2596" w:type="dxa"/>
            <w:tcBorders>
              <w:top w:val="single" w:sz="4" w:space="0" w:color="2B5A85"/>
            </w:tcBorders>
          </w:tcPr>
          <w:p w:rsidR="00521E33" w:rsidRPr="00290578" w:rsidRDefault="00521E33" w:rsidP="0063523D">
            <w:pPr>
              <w:pStyle w:val="TableText"/>
              <w:rPr>
                <w:rFonts w:eastAsia="Calibri"/>
                <w:b w:val="0"/>
              </w:rPr>
            </w:pPr>
            <w:r w:rsidRPr="00290578">
              <w:t>WORTH</w:t>
            </w:r>
          </w:p>
        </w:tc>
        <w:tc>
          <w:tcPr>
            <w:tcW w:w="2225" w:type="dxa"/>
            <w:tcBorders>
              <w:top w:val="single" w:sz="4" w:space="0" w:color="2B5A85"/>
            </w:tcBorders>
          </w:tcPr>
          <w:p w:rsidR="00521E33" w:rsidRPr="00290578" w:rsidRDefault="00521E33" w:rsidP="0063523D">
            <w:pPr>
              <w:pStyle w:val="TableText"/>
              <w:rPr>
                <w:rFonts w:eastAsia="Calibri"/>
                <w:b w:val="0"/>
              </w:rPr>
            </w:pPr>
            <w:r w:rsidRPr="00290578">
              <w:t>Typical CSG Program in Africa</w:t>
            </w:r>
          </w:p>
        </w:tc>
      </w:tr>
      <w:tr w:rsidR="00521E33" w:rsidRPr="00290578" w:rsidTr="0063523D">
        <w:tc>
          <w:tcPr>
            <w:tcW w:w="540" w:type="dxa"/>
            <w:tcBorders>
              <w:top w:val="single" w:sz="18" w:space="0" w:color="2B5A85"/>
              <w:bottom w:val="single" w:sz="4" w:space="0" w:color="2B5A85"/>
            </w:tcBorders>
          </w:tcPr>
          <w:p w:rsidR="00521E33" w:rsidRPr="00290578" w:rsidRDefault="00521E33" w:rsidP="0063523D">
            <w:pPr>
              <w:pStyle w:val="TableText"/>
            </w:pPr>
          </w:p>
        </w:tc>
        <w:tc>
          <w:tcPr>
            <w:tcW w:w="2191" w:type="dxa"/>
            <w:tcBorders>
              <w:top w:val="single" w:sz="18" w:space="0" w:color="2B5A85"/>
              <w:bottom w:val="single" w:sz="4" w:space="0" w:color="2B5A85"/>
            </w:tcBorders>
            <w:shd w:val="clear" w:color="auto" w:fill="D3E3F1"/>
          </w:tcPr>
          <w:p w:rsidR="00521E33" w:rsidRPr="0063523D" w:rsidRDefault="00521E33" w:rsidP="0063523D">
            <w:pPr>
              <w:pStyle w:val="TableText"/>
              <w:rPr>
                <w:b/>
              </w:rPr>
            </w:pPr>
            <w:r w:rsidRPr="0063523D">
              <w:rPr>
                <w:b/>
              </w:rPr>
              <w:t>PT Partner</w:t>
            </w:r>
          </w:p>
        </w:tc>
        <w:tc>
          <w:tcPr>
            <w:tcW w:w="1780" w:type="dxa"/>
            <w:gridSpan w:val="2"/>
            <w:tcBorders>
              <w:top w:val="single" w:sz="18" w:space="0" w:color="2B5A85"/>
              <w:bottom w:val="single" w:sz="4" w:space="0" w:color="2B5A85"/>
            </w:tcBorders>
            <w:shd w:val="clear" w:color="auto" w:fill="D3E3F1"/>
          </w:tcPr>
          <w:p w:rsidR="00521E33" w:rsidRPr="0063523D" w:rsidRDefault="00521E33" w:rsidP="0063523D">
            <w:pPr>
              <w:pStyle w:val="TableText"/>
              <w:rPr>
                <w:rFonts w:eastAsia="Calibri"/>
                <w:b/>
              </w:rPr>
            </w:pPr>
            <w:proofErr w:type="spellStart"/>
            <w:r w:rsidRPr="0063523D">
              <w:rPr>
                <w:b/>
              </w:rPr>
              <w:t>Africare</w:t>
            </w:r>
            <w:proofErr w:type="spellEnd"/>
          </w:p>
        </w:tc>
        <w:tc>
          <w:tcPr>
            <w:tcW w:w="1843" w:type="dxa"/>
            <w:tcBorders>
              <w:top w:val="single" w:sz="18" w:space="0" w:color="2B5A85"/>
              <w:bottom w:val="single" w:sz="4" w:space="0" w:color="2B5A85"/>
            </w:tcBorders>
            <w:shd w:val="clear" w:color="auto" w:fill="D3E3F1"/>
          </w:tcPr>
          <w:p w:rsidR="00521E33" w:rsidRPr="0063523D" w:rsidRDefault="00521E33" w:rsidP="0063523D">
            <w:pPr>
              <w:pStyle w:val="TableText"/>
              <w:rPr>
                <w:rFonts w:eastAsia="Calibri"/>
                <w:b/>
              </w:rPr>
            </w:pPr>
            <w:r w:rsidRPr="0063523D">
              <w:rPr>
                <w:b/>
              </w:rPr>
              <w:t>FHI 360</w:t>
            </w:r>
          </w:p>
        </w:tc>
        <w:tc>
          <w:tcPr>
            <w:tcW w:w="2721" w:type="dxa"/>
            <w:tcBorders>
              <w:top w:val="single" w:sz="18" w:space="0" w:color="2B5A85"/>
              <w:bottom w:val="single" w:sz="4" w:space="0" w:color="2B5A85"/>
            </w:tcBorders>
            <w:shd w:val="clear" w:color="auto" w:fill="D3E3F1"/>
          </w:tcPr>
          <w:p w:rsidR="00521E33" w:rsidRPr="0063523D" w:rsidRDefault="00521E33" w:rsidP="0063523D">
            <w:pPr>
              <w:pStyle w:val="TableText"/>
              <w:rPr>
                <w:rFonts w:eastAsia="Calibri"/>
                <w:b/>
              </w:rPr>
            </w:pPr>
            <w:r w:rsidRPr="0063523D">
              <w:rPr>
                <w:b/>
              </w:rPr>
              <w:t>WEI</w:t>
            </w:r>
          </w:p>
        </w:tc>
        <w:tc>
          <w:tcPr>
            <w:tcW w:w="2596" w:type="dxa"/>
            <w:tcBorders>
              <w:top w:val="single" w:sz="18" w:space="0" w:color="2B5A85"/>
              <w:bottom w:val="single" w:sz="4" w:space="0" w:color="2B5A85"/>
            </w:tcBorders>
            <w:shd w:val="clear" w:color="auto" w:fill="D3E3F1"/>
          </w:tcPr>
          <w:p w:rsidR="00521E33" w:rsidRPr="0063523D" w:rsidRDefault="00521E33" w:rsidP="0063523D">
            <w:pPr>
              <w:pStyle w:val="TableText"/>
              <w:rPr>
                <w:rFonts w:eastAsia="Calibri"/>
                <w:b/>
              </w:rPr>
            </w:pPr>
            <w:r w:rsidRPr="0063523D">
              <w:rPr>
                <w:b/>
              </w:rPr>
              <w:t>Pact</w:t>
            </w:r>
          </w:p>
        </w:tc>
        <w:tc>
          <w:tcPr>
            <w:tcW w:w="2225" w:type="dxa"/>
            <w:tcBorders>
              <w:top w:val="single" w:sz="18" w:space="0" w:color="2B5A85"/>
              <w:bottom w:val="single" w:sz="4" w:space="0" w:color="2B5A85"/>
            </w:tcBorders>
            <w:shd w:val="clear" w:color="auto" w:fill="D3E3F1"/>
          </w:tcPr>
          <w:p w:rsidR="00521E33" w:rsidRPr="00290578" w:rsidRDefault="00521E33" w:rsidP="0063523D">
            <w:pPr>
              <w:pStyle w:val="TableText"/>
            </w:pPr>
          </w:p>
        </w:tc>
      </w:tr>
      <w:tr w:rsidR="00521E33" w:rsidRPr="00290578" w:rsidTr="0063523D">
        <w:tc>
          <w:tcPr>
            <w:tcW w:w="540" w:type="dxa"/>
            <w:vMerge w:val="restart"/>
            <w:tcBorders>
              <w:top w:val="single" w:sz="4" w:space="0" w:color="2B5A85"/>
            </w:tcBorders>
            <w:textDirection w:val="btLr"/>
          </w:tcPr>
          <w:p w:rsidR="00521E33" w:rsidRPr="00290578" w:rsidRDefault="00521E33" w:rsidP="0063523D">
            <w:pPr>
              <w:pStyle w:val="TableText"/>
            </w:pPr>
            <w:r w:rsidRPr="00290578">
              <w:t>Membership Selection/ Targeting</w:t>
            </w:r>
          </w:p>
        </w:tc>
        <w:tc>
          <w:tcPr>
            <w:tcW w:w="2191" w:type="dxa"/>
            <w:tcBorders>
              <w:top w:val="single" w:sz="4" w:space="0" w:color="2B5A85"/>
            </w:tcBorders>
          </w:tcPr>
          <w:p w:rsidR="00521E33" w:rsidRPr="00290578" w:rsidRDefault="00521E33" w:rsidP="0063523D">
            <w:pPr>
              <w:pStyle w:val="TableText"/>
            </w:pPr>
            <w:r w:rsidRPr="00290578">
              <w:t>Geographic coverage</w:t>
            </w:r>
          </w:p>
        </w:tc>
        <w:tc>
          <w:tcPr>
            <w:tcW w:w="1780" w:type="dxa"/>
            <w:gridSpan w:val="2"/>
            <w:tcBorders>
              <w:top w:val="single" w:sz="4" w:space="0" w:color="2B5A85"/>
            </w:tcBorders>
          </w:tcPr>
          <w:p w:rsidR="00521E33" w:rsidRPr="00290578" w:rsidRDefault="00521E33" w:rsidP="0063523D">
            <w:pPr>
              <w:pStyle w:val="TableText"/>
            </w:pPr>
            <w:r w:rsidRPr="00290578">
              <w:t xml:space="preserve">Dodoma, Iringa, </w:t>
            </w:r>
            <w:proofErr w:type="spellStart"/>
            <w:r w:rsidRPr="00290578">
              <w:t>Njombe</w:t>
            </w:r>
            <w:proofErr w:type="spellEnd"/>
            <w:r w:rsidRPr="00290578">
              <w:t xml:space="preserve">, </w:t>
            </w:r>
            <w:proofErr w:type="spellStart"/>
            <w:r w:rsidRPr="00290578">
              <w:t>Singida</w:t>
            </w:r>
            <w:proofErr w:type="spellEnd"/>
          </w:p>
        </w:tc>
        <w:tc>
          <w:tcPr>
            <w:tcW w:w="1843" w:type="dxa"/>
            <w:tcBorders>
              <w:top w:val="single" w:sz="4" w:space="0" w:color="2B5A85"/>
            </w:tcBorders>
          </w:tcPr>
          <w:p w:rsidR="00521E33" w:rsidRPr="00290578" w:rsidRDefault="00521E33" w:rsidP="0063523D">
            <w:pPr>
              <w:pStyle w:val="TableText"/>
            </w:pPr>
            <w:r w:rsidRPr="00290578">
              <w:t xml:space="preserve">Dar </w:t>
            </w:r>
            <w:proofErr w:type="spellStart"/>
            <w:r w:rsidRPr="00290578">
              <w:t>Es</w:t>
            </w:r>
            <w:proofErr w:type="spellEnd"/>
            <w:r w:rsidRPr="00290578">
              <w:t xml:space="preserve"> Salaam, </w:t>
            </w:r>
            <w:proofErr w:type="spellStart"/>
            <w:r w:rsidRPr="00290578">
              <w:t>Morogoro</w:t>
            </w:r>
            <w:proofErr w:type="spellEnd"/>
            <w:r w:rsidRPr="00290578">
              <w:t xml:space="preserve">, </w:t>
            </w:r>
            <w:proofErr w:type="spellStart"/>
            <w:r w:rsidRPr="00290578">
              <w:t>Pwani</w:t>
            </w:r>
            <w:proofErr w:type="spellEnd"/>
            <w:r w:rsidRPr="00290578">
              <w:t xml:space="preserve">, </w:t>
            </w:r>
            <w:proofErr w:type="spellStart"/>
            <w:r w:rsidRPr="00290578">
              <w:t>Kaskazini</w:t>
            </w:r>
            <w:proofErr w:type="spellEnd"/>
            <w:r w:rsidRPr="00290578">
              <w:t xml:space="preserve"> </w:t>
            </w:r>
            <w:proofErr w:type="spellStart"/>
            <w:r w:rsidRPr="00290578">
              <w:t>Unguja</w:t>
            </w:r>
            <w:proofErr w:type="spellEnd"/>
            <w:r w:rsidRPr="00290578">
              <w:t xml:space="preserve">, </w:t>
            </w:r>
            <w:proofErr w:type="spellStart"/>
            <w:r w:rsidRPr="00290578">
              <w:t>Mkoa</w:t>
            </w:r>
            <w:proofErr w:type="spellEnd"/>
            <w:r w:rsidRPr="00290578">
              <w:t xml:space="preserve"> </w:t>
            </w:r>
            <w:proofErr w:type="spellStart"/>
            <w:r w:rsidRPr="00290578">
              <w:t>wa</w:t>
            </w:r>
            <w:proofErr w:type="spellEnd"/>
            <w:r w:rsidRPr="00290578">
              <w:t xml:space="preserve"> </w:t>
            </w:r>
            <w:proofErr w:type="spellStart"/>
            <w:r w:rsidRPr="00290578">
              <w:t>Kaskazini</w:t>
            </w:r>
            <w:proofErr w:type="spellEnd"/>
          </w:p>
        </w:tc>
        <w:tc>
          <w:tcPr>
            <w:tcW w:w="2721" w:type="dxa"/>
            <w:tcBorders>
              <w:top w:val="single" w:sz="4" w:space="0" w:color="2B5A85"/>
            </w:tcBorders>
          </w:tcPr>
          <w:p w:rsidR="00521E33" w:rsidRPr="00290578" w:rsidRDefault="00521E33" w:rsidP="0063523D">
            <w:pPr>
              <w:pStyle w:val="TableText"/>
            </w:pPr>
            <w:r w:rsidRPr="00290578">
              <w:t xml:space="preserve">Arusha, </w:t>
            </w:r>
            <w:proofErr w:type="spellStart"/>
            <w:r w:rsidRPr="00290578">
              <w:t>Tanga</w:t>
            </w:r>
            <w:proofErr w:type="spellEnd"/>
            <w:r w:rsidRPr="00290578">
              <w:t xml:space="preserve">, Kilimanjaro, </w:t>
            </w:r>
            <w:proofErr w:type="spellStart"/>
            <w:r w:rsidRPr="00290578">
              <w:t>Manyara</w:t>
            </w:r>
            <w:proofErr w:type="spellEnd"/>
          </w:p>
        </w:tc>
        <w:tc>
          <w:tcPr>
            <w:tcW w:w="2596" w:type="dxa"/>
            <w:tcBorders>
              <w:top w:val="single" w:sz="4" w:space="0" w:color="2B5A85"/>
            </w:tcBorders>
          </w:tcPr>
          <w:p w:rsidR="00521E33" w:rsidRPr="00290578" w:rsidRDefault="00521E33" w:rsidP="0063523D">
            <w:pPr>
              <w:pStyle w:val="TableText"/>
              <w:rPr>
                <w:lang w:val="es-MX"/>
              </w:rPr>
            </w:pPr>
            <w:proofErr w:type="spellStart"/>
            <w:r w:rsidRPr="00290578">
              <w:rPr>
                <w:lang w:val="es-MX"/>
              </w:rPr>
              <w:t>Kagera</w:t>
            </w:r>
            <w:proofErr w:type="spellEnd"/>
            <w:r w:rsidRPr="00290578">
              <w:rPr>
                <w:lang w:val="es-MX"/>
              </w:rPr>
              <w:t xml:space="preserve">, </w:t>
            </w:r>
            <w:proofErr w:type="spellStart"/>
            <w:r w:rsidRPr="00290578">
              <w:rPr>
                <w:lang w:val="es-MX"/>
              </w:rPr>
              <w:t>Mtwara</w:t>
            </w:r>
            <w:proofErr w:type="spellEnd"/>
            <w:r w:rsidRPr="00290578">
              <w:rPr>
                <w:lang w:val="es-MX"/>
              </w:rPr>
              <w:t xml:space="preserve">, Mara, </w:t>
            </w:r>
            <w:proofErr w:type="spellStart"/>
            <w:r w:rsidRPr="00290578">
              <w:rPr>
                <w:lang w:val="es-MX"/>
              </w:rPr>
              <w:t>Mbeya</w:t>
            </w:r>
            <w:proofErr w:type="spellEnd"/>
            <w:r w:rsidRPr="00290578">
              <w:rPr>
                <w:lang w:val="es-MX"/>
              </w:rPr>
              <w:t xml:space="preserve">, Tabora, </w:t>
            </w:r>
            <w:proofErr w:type="spellStart"/>
            <w:r w:rsidRPr="00290578">
              <w:rPr>
                <w:lang w:val="es-MX"/>
              </w:rPr>
              <w:t>Mwanza</w:t>
            </w:r>
            <w:proofErr w:type="spellEnd"/>
            <w:r w:rsidRPr="00290578">
              <w:rPr>
                <w:lang w:val="es-MX"/>
              </w:rPr>
              <w:t xml:space="preserve">, </w:t>
            </w:r>
            <w:proofErr w:type="spellStart"/>
            <w:r w:rsidRPr="00290578">
              <w:rPr>
                <w:lang w:val="es-MX"/>
              </w:rPr>
              <w:t>Ruvuma</w:t>
            </w:r>
            <w:proofErr w:type="spellEnd"/>
            <w:r w:rsidRPr="00290578">
              <w:rPr>
                <w:lang w:val="es-MX"/>
              </w:rPr>
              <w:t xml:space="preserve">, </w:t>
            </w:r>
            <w:proofErr w:type="spellStart"/>
            <w:r w:rsidRPr="00290578">
              <w:rPr>
                <w:lang w:val="es-MX"/>
              </w:rPr>
              <w:t>Lindi</w:t>
            </w:r>
            <w:proofErr w:type="spellEnd"/>
            <w:r w:rsidRPr="00290578">
              <w:rPr>
                <w:lang w:val="es-MX"/>
              </w:rPr>
              <w:t xml:space="preserve">, </w:t>
            </w:r>
            <w:proofErr w:type="spellStart"/>
            <w:r w:rsidRPr="00290578">
              <w:rPr>
                <w:lang w:val="es-MX"/>
              </w:rPr>
              <w:t>Rukwa</w:t>
            </w:r>
            <w:proofErr w:type="spellEnd"/>
            <w:r w:rsidRPr="00290578">
              <w:rPr>
                <w:lang w:val="es-MX"/>
              </w:rPr>
              <w:t xml:space="preserve">, </w:t>
            </w:r>
            <w:proofErr w:type="spellStart"/>
            <w:r w:rsidRPr="00290578">
              <w:rPr>
                <w:lang w:val="es-MX"/>
              </w:rPr>
              <w:t>Katavi</w:t>
            </w:r>
            <w:proofErr w:type="spellEnd"/>
          </w:p>
        </w:tc>
        <w:tc>
          <w:tcPr>
            <w:tcW w:w="2225" w:type="dxa"/>
            <w:tcBorders>
              <w:top w:val="single" w:sz="4" w:space="0" w:color="2B5A85"/>
            </w:tcBorders>
          </w:tcPr>
          <w:p w:rsidR="00521E33" w:rsidRPr="00290578" w:rsidRDefault="00521E33" w:rsidP="0063523D">
            <w:pPr>
              <w:pStyle w:val="TableText"/>
              <w:rPr>
                <w:lang w:val="es-MX"/>
              </w:rPr>
            </w:pPr>
          </w:p>
        </w:tc>
      </w:tr>
      <w:tr w:rsidR="00521E33" w:rsidRPr="00290578" w:rsidTr="00521E33">
        <w:tc>
          <w:tcPr>
            <w:tcW w:w="540" w:type="dxa"/>
            <w:vMerge/>
          </w:tcPr>
          <w:p w:rsidR="00521E33" w:rsidRPr="00290578" w:rsidRDefault="00521E33" w:rsidP="0063523D">
            <w:pPr>
              <w:pStyle w:val="TableText"/>
              <w:rPr>
                <w:lang w:val="es-MX"/>
              </w:rPr>
            </w:pPr>
          </w:p>
        </w:tc>
        <w:tc>
          <w:tcPr>
            <w:tcW w:w="2191" w:type="dxa"/>
          </w:tcPr>
          <w:p w:rsidR="00521E33" w:rsidRPr="00290578" w:rsidRDefault="00521E33" w:rsidP="0063523D">
            <w:pPr>
              <w:pStyle w:val="TableText"/>
            </w:pPr>
            <w:r w:rsidRPr="00290578">
              <w:t>Self-selection of members and group size</w:t>
            </w:r>
          </w:p>
        </w:tc>
        <w:tc>
          <w:tcPr>
            <w:tcW w:w="3623" w:type="dxa"/>
            <w:gridSpan w:val="3"/>
          </w:tcPr>
          <w:p w:rsidR="00521E33" w:rsidRPr="00290578" w:rsidRDefault="00521E33" w:rsidP="0063523D">
            <w:pPr>
              <w:pStyle w:val="TableText"/>
            </w:pPr>
            <w:r w:rsidRPr="00290578">
              <w:t>Yes, 20–30</w:t>
            </w:r>
          </w:p>
        </w:tc>
        <w:tc>
          <w:tcPr>
            <w:tcW w:w="2721" w:type="dxa"/>
          </w:tcPr>
          <w:p w:rsidR="00521E33" w:rsidRPr="00290578" w:rsidRDefault="00521E33" w:rsidP="0063523D">
            <w:pPr>
              <w:pStyle w:val="TableText"/>
            </w:pPr>
            <w:r w:rsidRPr="00290578">
              <w:t>Yes, 20–30</w:t>
            </w:r>
          </w:p>
        </w:tc>
        <w:tc>
          <w:tcPr>
            <w:tcW w:w="2596" w:type="dxa"/>
          </w:tcPr>
          <w:p w:rsidR="00521E33" w:rsidRPr="00290578" w:rsidRDefault="00521E33" w:rsidP="0063523D">
            <w:pPr>
              <w:pStyle w:val="TableText"/>
            </w:pPr>
            <w:r w:rsidRPr="00290578">
              <w:t>Yes, 20–25</w:t>
            </w:r>
          </w:p>
        </w:tc>
        <w:tc>
          <w:tcPr>
            <w:tcW w:w="2225" w:type="dxa"/>
          </w:tcPr>
          <w:p w:rsidR="00521E33" w:rsidRPr="00290578" w:rsidRDefault="00521E33" w:rsidP="0063523D">
            <w:pPr>
              <w:pStyle w:val="TableText"/>
            </w:pPr>
            <w:r w:rsidRPr="00290578">
              <w:t>Yes, 15–30</w:t>
            </w:r>
          </w:p>
        </w:tc>
      </w:tr>
      <w:tr w:rsidR="00521E33" w:rsidRPr="00290578" w:rsidTr="00521E33">
        <w:tc>
          <w:tcPr>
            <w:tcW w:w="540" w:type="dxa"/>
            <w:vMerge/>
          </w:tcPr>
          <w:p w:rsidR="00521E33" w:rsidRPr="00290578" w:rsidRDefault="00521E33" w:rsidP="0063523D">
            <w:pPr>
              <w:pStyle w:val="TableText"/>
            </w:pPr>
          </w:p>
        </w:tc>
        <w:tc>
          <w:tcPr>
            <w:tcW w:w="2191" w:type="dxa"/>
          </w:tcPr>
          <w:p w:rsidR="00521E33" w:rsidRPr="00290578" w:rsidRDefault="00521E33" w:rsidP="0063523D">
            <w:pPr>
              <w:pStyle w:val="TableText"/>
            </w:pPr>
            <w:r w:rsidRPr="00290578">
              <w:t xml:space="preserve">Gender distribution </w:t>
            </w:r>
          </w:p>
        </w:tc>
        <w:tc>
          <w:tcPr>
            <w:tcW w:w="3623" w:type="dxa"/>
            <w:gridSpan w:val="3"/>
          </w:tcPr>
          <w:p w:rsidR="00521E33" w:rsidRPr="00290578" w:rsidRDefault="00521E33" w:rsidP="0063523D">
            <w:pPr>
              <w:pStyle w:val="TableText"/>
            </w:pPr>
            <w:r w:rsidRPr="00290578">
              <w:t>Blended Mix</w:t>
            </w:r>
          </w:p>
        </w:tc>
        <w:tc>
          <w:tcPr>
            <w:tcW w:w="2721" w:type="dxa"/>
          </w:tcPr>
          <w:p w:rsidR="00521E33" w:rsidRPr="00290578" w:rsidRDefault="00521E33" w:rsidP="0063523D">
            <w:pPr>
              <w:pStyle w:val="TableText"/>
            </w:pPr>
            <w:r w:rsidRPr="00290578">
              <w:t>Minimum 60% women</w:t>
            </w:r>
          </w:p>
        </w:tc>
        <w:tc>
          <w:tcPr>
            <w:tcW w:w="2596" w:type="dxa"/>
          </w:tcPr>
          <w:p w:rsidR="00521E33" w:rsidRPr="00290578" w:rsidRDefault="00521E33" w:rsidP="0063523D">
            <w:pPr>
              <w:pStyle w:val="TableText"/>
            </w:pPr>
            <w:r w:rsidRPr="00290578">
              <w:t>Separate groups for men and women</w:t>
            </w:r>
          </w:p>
        </w:tc>
        <w:tc>
          <w:tcPr>
            <w:tcW w:w="2225" w:type="dxa"/>
          </w:tcPr>
          <w:p w:rsidR="00521E33" w:rsidRPr="00290578" w:rsidRDefault="00521E33" w:rsidP="0063523D">
            <w:pPr>
              <w:pStyle w:val="TableText"/>
            </w:pPr>
            <w:r w:rsidRPr="00290578">
              <w:t xml:space="preserve">Mixed </w:t>
            </w:r>
          </w:p>
        </w:tc>
      </w:tr>
      <w:tr w:rsidR="00521E33" w:rsidRPr="00290578" w:rsidTr="00521E33">
        <w:tc>
          <w:tcPr>
            <w:tcW w:w="540" w:type="dxa"/>
            <w:vMerge/>
          </w:tcPr>
          <w:p w:rsidR="00521E33" w:rsidRPr="00290578" w:rsidRDefault="00521E33" w:rsidP="0063523D">
            <w:pPr>
              <w:pStyle w:val="TableText"/>
            </w:pPr>
          </w:p>
        </w:tc>
        <w:tc>
          <w:tcPr>
            <w:tcW w:w="2191" w:type="dxa"/>
          </w:tcPr>
          <w:p w:rsidR="00521E33" w:rsidRPr="00290578" w:rsidRDefault="00521E33" w:rsidP="0063523D">
            <w:pPr>
              <w:pStyle w:val="TableText"/>
            </w:pPr>
            <w:r w:rsidRPr="00290578">
              <w:t>Caregivers/non-caregivers in membership</w:t>
            </w:r>
          </w:p>
        </w:tc>
        <w:tc>
          <w:tcPr>
            <w:tcW w:w="1698" w:type="dxa"/>
          </w:tcPr>
          <w:p w:rsidR="00521E33" w:rsidRPr="00290578" w:rsidRDefault="00521E33" w:rsidP="0063523D">
            <w:pPr>
              <w:pStyle w:val="TableText"/>
              <w:rPr>
                <w:rFonts w:eastAsia="Calibri"/>
              </w:rPr>
            </w:pPr>
            <w:r w:rsidRPr="00290578">
              <w:t>Minimum 60% target</w:t>
            </w:r>
          </w:p>
        </w:tc>
        <w:tc>
          <w:tcPr>
            <w:tcW w:w="1925" w:type="dxa"/>
            <w:gridSpan w:val="2"/>
          </w:tcPr>
          <w:p w:rsidR="00521E33" w:rsidRPr="00290578" w:rsidRDefault="00521E33" w:rsidP="0063523D">
            <w:pPr>
              <w:pStyle w:val="TableText"/>
            </w:pPr>
            <w:r w:rsidRPr="00290578">
              <w:t>Blended mix</w:t>
            </w:r>
          </w:p>
        </w:tc>
        <w:tc>
          <w:tcPr>
            <w:tcW w:w="2721" w:type="dxa"/>
          </w:tcPr>
          <w:p w:rsidR="00521E33" w:rsidRPr="00290578" w:rsidRDefault="00521E33" w:rsidP="0063523D">
            <w:pPr>
              <w:pStyle w:val="TableText"/>
            </w:pPr>
            <w:r w:rsidRPr="00290578">
              <w:t>Minimum 60% target</w:t>
            </w:r>
          </w:p>
        </w:tc>
        <w:tc>
          <w:tcPr>
            <w:tcW w:w="2596" w:type="dxa"/>
          </w:tcPr>
          <w:p w:rsidR="00521E33" w:rsidRPr="00290578" w:rsidRDefault="00521E33" w:rsidP="0063523D">
            <w:pPr>
              <w:pStyle w:val="TableText"/>
            </w:pPr>
            <w:r w:rsidRPr="00290578">
              <w:t>Almost 100% caregivers; some groups for MVCC members</w:t>
            </w:r>
          </w:p>
        </w:tc>
        <w:tc>
          <w:tcPr>
            <w:tcW w:w="2225" w:type="dxa"/>
          </w:tcPr>
          <w:p w:rsidR="00521E33" w:rsidRPr="00290578" w:rsidRDefault="00521E33" w:rsidP="0063523D">
            <w:pPr>
              <w:pStyle w:val="TableText"/>
            </w:pPr>
            <w:r w:rsidRPr="00290578">
              <w:t>N/A</w:t>
            </w:r>
          </w:p>
        </w:tc>
      </w:tr>
      <w:tr w:rsidR="00521E33" w:rsidRPr="00290578" w:rsidTr="00521E33">
        <w:tc>
          <w:tcPr>
            <w:tcW w:w="540" w:type="dxa"/>
            <w:vMerge w:val="restart"/>
            <w:textDirection w:val="btLr"/>
          </w:tcPr>
          <w:p w:rsidR="00521E33" w:rsidRPr="00290578" w:rsidRDefault="00521E33" w:rsidP="0063523D">
            <w:pPr>
              <w:pStyle w:val="TableText"/>
              <w:jc w:val="center"/>
            </w:pPr>
            <w:r w:rsidRPr="00290578">
              <w:t>Products and Services</w:t>
            </w:r>
          </w:p>
        </w:tc>
        <w:tc>
          <w:tcPr>
            <w:tcW w:w="2191" w:type="dxa"/>
          </w:tcPr>
          <w:p w:rsidR="00521E33" w:rsidRPr="00290578" w:rsidRDefault="00521E33" w:rsidP="0063523D">
            <w:pPr>
              <w:pStyle w:val="TableText"/>
            </w:pPr>
            <w:r w:rsidRPr="00290578">
              <w:t>MVC Fund (funded)</w:t>
            </w:r>
          </w:p>
        </w:tc>
        <w:tc>
          <w:tcPr>
            <w:tcW w:w="3623" w:type="dxa"/>
            <w:gridSpan w:val="3"/>
          </w:tcPr>
          <w:p w:rsidR="00521E33" w:rsidRPr="00290578" w:rsidRDefault="00521E33" w:rsidP="0063523D">
            <w:pPr>
              <w:pStyle w:val="TableText"/>
            </w:pPr>
            <w:r w:rsidRPr="00290578">
              <w:t>Yes</w:t>
            </w:r>
          </w:p>
        </w:tc>
        <w:tc>
          <w:tcPr>
            <w:tcW w:w="2721" w:type="dxa"/>
          </w:tcPr>
          <w:p w:rsidR="00521E33" w:rsidRPr="00290578" w:rsidRDefault="00521E33" w:rsidP="0063523D">
            <w:pPr>
              <w:pStyle w:val="TableText"/>
            </w:pPr>
            <w:r w:rsidRPr="00290578">
              <w:t>Yes</w:t>
            </w:r>
          </w:p>
        </w:tc>
        <w:tc>
          <w:tcPr>
            <w:tcW w:w="2596" w:type="dxa"/>
          </w:tcPr>
          <w:p w:rsidR="00521E33" w:rsidRPr="00290578" w:rsidRDefault="00521E33" w:rsidP="0063523D">
            <w:pPr>
              <w:pStyle w:val="TableText"/>
            </w:pPr>
            <w:r w:rsidRPr="00290578">
              <w:t>No</w:t>
            </w:r>
          </w:p>
        </w:tc>
        <w:tc>
          <w:tcPr>
            <w:tcW w:w="2225" w:type="dxa"/>
          </w:tcPr>
          <w:p w:rsidR="00521E33" w:rsidRPr="00290578" w:rsidRDefault="00521E33" w:rsidP="0063523D">
            <w:pPr>
              <w:pStyle w:val="TableText"/>
            </w:pPr>
            <w:r w:rsidRPr="00290578">
              <w:t>No</w:t>
            </w:r>
          </w:p>
        </w:tc>
      </w:tr>
      <w:tr w:rsidR="00521E33" w:rsidRPr="00290578" w:rsidTr="00521E33">
        <w:tc>
          <w:tcPr>
            <w:tcW w:w="540" w:type="dxa"/>
            <w:vMerge/>
            <w:textDirection w:val="btLr"/>
          </w:tcPr>
          <w:p w:rsidR="00521E33" w:rsidRPr="00290578" w:rsidRDefault="00521E33" w:rsidP="0063523D">
            <w:pPr>
              <w:pStyle w:val="TableText"/>
            </w:pPr>
          </w:p>
        </w:tc>
        <w:tc>
          <w:tcPr>
            <w:tcW w:w="2191" w:type="dxa"/>
          </w:tcPr>
          <w:p w:rsidR="00521E33" w:rsidRPr="00290578" w:rsidRDefault="00521E33" w:rsidP="0063523D">
            <w:pPr>
              <w:pStyle w:val="TableText"/>
            </w:pPr>
            <w:r w:rsidRPr="00290578">
              <w:t>Social Fund (funded)</w:t>
            </w:r>
          </w:p>
        </w:tc>
        <w:tc>
          <w:tcPr>
            <w:tcW w:w="3623" w:type="dxa"/>
            <w:gridSpan w:val="3"/>
          </w:tcPr>
          <w:p w:rsidR="00521E33" w:rsidRPr="00290578" w:rsidRDefault="00521E33" w:rsidP="0063523D">
            <w:pPr>
              <w:pStyle w:val="TableText"/>
            </w:pPr>
            <w:r w:rsidRPr="00290578">
              <w:t>Yes</w:t>
            </w:r>
          </w:p>
        </w:tc>
        <w:tc>
          <w:tcPr>
            <w:tcW w:w="2721" w:type="dxa"/>
          </w:tcPr>
          <w:p w:rsidR="00521E33" w:rsidRPr="00290578" w:rsidRDefault="00521E33" w:rsidP="0063523D">
            <w:pPr>
              <w:pStyle w:val="TableText"/>
            </w:pPr>
            <w:r w:rsidRPr="00290578">
              <w:t>Yes</w:t>
            </w:r>
          </w:p>
        </w:tc>
        <w:tc>
          <w:tcPr>
            <w:tcW w:w="2596" w:type="dxa"/>
          </w:tcPr>
          <w:p w:rsidR="00521E33" w:rsidRPr="00290578" w:rsidRDefault="00521E33" w:rsidP="0063523D">
            <w:pPr>
              <w:pStyle w:val="TableText"/>
            </w:pPr>
            <w:r w:rsidRPr="00290578">
              <w:t xml:space="preserve">In some WORTH groups </w:t>
            </w:r>
          </w:p>
        </w:tc>
        <w:tc>
          <w:tcPr>
            <w:tcW w:w="2225" w:type="dxa"/>
          </w:tcPr>
          <w:p w:rsidR="00521E33" w:rsidRPr="00290578" w:rsidRDefault="00521E33" w:rsidP="0063523D">
            <w:pPr>
              <w:pStyle w:val="TableText"/>
            </w:pPr>
            <w:r w:rsidRPr="00290578">
              <w:t>Yes</w:t>
            </w:r>
          </w:p>
        </w:tc>
      </w:tr>
      <w:tr w:rsidR="00521E33" w:rsidRPr="00290578" w:rsidTr="00521E33">
        <w:tc>
          <w:tcPr>
            <w:tcW w:w="540" w:type="dxa"/>
            <w:vMerge/>
            <w:textDirection w:val="btLr"/>
          </w:tcPr>
          <w:p w:rsidR="00521E33" w:rsidRPr="00290578" w:rsidRDefault="00521E33" w:rsidP="0063523D">
            <w:pPr>
              <w:pStyle w:val="TableText"/>
            </w:pPr>
          </w:p>
        </w:tc>
        <w:tc>
          <w:tcPr>
            <w:tcW w:w="2191" w:type="dxa"/>
          </w:tcPr>
          <w:p w:rsidR="00521E33" w:rsidRPr="00290578" w:rsidRDefault="00521E33" w:rsidP="0063523D">
            <w:pPr>
              <w:pStyle w:val="TableText"/>
              <w:rPr>
                <w:rFonts w:eastAsia="Calibri"/>
              </w:rPr>
            </w:pPr>
            <w:r w:rsidRPr="00290578">
              <w:t>Capital (savings) distribution after an average of 9–12 months</w:t>
            </w:r>
          </w:p>
        </w:tc>
        <w:tc>
          <w:tcPr>
            <w:tcW w:w="3623" w:type="dxa"/>
            <w:gridSpan w:val="3"/>
          </w:tcPr>
          <w:p w:rsidR="00521E33" w:rsidRPr="00290578" w:rsidRDefault="00521E33" w:rsidP="0063523D">
            <w:pPr>
              <w:pStyle w:val="TableText"/>
            </w:pPr>
            <w:r w:rsidRPr="00290578">
              <w:t>Yes</w:t>
            </w:r>
          </w:p>
        </w:tc>
        <w:tc>
          <w:tcPr>
            <w:tcW w:w="2721" w:type="dxa"/>
          </w:tcPr>
          <w:p w:rsidR="00521E33" w:rsidRPr="00290578" w:rsidRDefault="00521E33" w:rsidP="0063523D">
            <w:pPr>
              <w:pStyle w:val="TableText"/>
            </w:pPr>
            <w:r w:rsidRPr="00290578">
              <w:t>Yes</w:t>
            </w:r>
          </w:p>
        </w:tc>
        <w:tc>
          <w:tcPr>
            <w:tcW w:w="2596" w:type="dxa"/>
          </w:tcPr>
          <w:p w:rsidR="00521E33" w:rsidRPr="00290578" w:rsidRDefault="00521E33" w:rsidP="0063523D">
            <w:pPr>
              <w:pStyle w:val="TableText"/>
            </w:pPr>
            <w:r w:rsidRPr="00290578">
              <w:t>No</w:t>
            </w:r>
          </w:p>
        </w:tc>
        <w:tc>
          <w:tcPr>
            <w:tcW w:w="2225" w:type="dxa"/>
          </w:tcPr>
          <w:p w:rsidR="00521E33" w:rsidRPr="00290578" w:rsidRDefault="00521E33" w:rsidP="0063523D">
            <w:pPr>
              <w:pStyle w:val="TableText"/>
            </w:pPr>
            <w:r w:rsidRPr="00290578">
              <w:t>Yes</w:t>
            </w:r>
          </w:p>
        </w:tc>
      </w:tr>
      <w:tr w:rsidR="00521E33" w:rsidRPr="00290578" w:rsidTr="00521E33">
        <w:tc>
          <w:tcPr>
            <w:tcW w:w="540" w:type="dxa"/>
            <w:vMerge/>
            <w:textDirection w:val="btLr"/>
          </w:tcPr>
          <w:p w:rsidR="00521E33" w:rsidRPr="00290578" w:rsidRDefault="00521E33" w:rsidP="0063523D">
            <w:pPr>
              <w:pStyle w:val="TableText"/>
            </w:pPr>
          </w:p>
        </w:tc>
        <w:tc>
          <w:tcPr>
            <w:tcW w:w="2191" w:type="dxa"/>
          </w:tcPr>
          <w:p w:rsidR="00521E33" w:rsidRPr="00290578" w:rsidRDefault="00521E33" w:rsidP="0063523D">
            <w:pPr>
              <w:pStyle w:val="TableText"/>
            </w:pPr>
            <w:r w:rsidRPr="00290578">
              <w:t xml:space="preserve">Dividend-only distribution </w:t>
            </w:r>
          </w:p>
        </w:tc>
        <w:tc>
          <w:tcPr>
            <w:tcW w:w="3623" w:type="dxa"/>
            <w:gridSpan w:val="3"/>
          </w:tcPr>
          <w:p w:rsidR="00521E33" w:rsidRPr="00290578" w:rsidRDefault="00521E33" w:rsidP="0063523D">
            <w:pPr>
              <w:pStyle w:val="TableText"/>
            </w:pPr>
            <w:r w:rsidRPr="00290578">
              <w:t>No</w:t>
            </w:r>
          </w:p>
        </w:tc>
        <w:tc>
          <w:tcPr>
            <w:tcW w:w="2721" w:type="dxa"/>
          </w:tcPr>
          <w:p w:rsidR="00521E33" w:rsidRPr="00290578" w:rsidRDefault="00521E33" w:rsidP="0063523D">
            <w:pPr>
              <w:pStyle w:val="TableText"/>
            </w:pPr>
            <w:r w:rsidRPr="00290578">
              <w:t>No</w:t>
            </w:r>
          </w:p>
        </w:tc>
        <w:tc>
          <w:tcPr>
            <w:tcW w:w="2596" w:type="dxa"/>
          </w:tcPr>
          <w:p w:rsidR="00521E33" w:rsidRPr="00290578" w:rsidRDefault="00521E33" w:rsidP="0063523D">
            <w:pPr>
              <w:pStyle w:val="TableText"/>
            </w:pPr>
            <w:r w:rsidRPr="00290578">
              <w:t>Yes</w:t>
            </w:r>
          </w:p>
        </w:tc>
        <w:tc>
          <w:tcPr>
            <w:tcW w:w="2225" w:type="dxa"/>
          </w:tcPr>
          <w:p w:rsidR="00521E33" w:rsidRPr="00290578" w:rsidRDefault="00521E33" w:rsidP="0063523D">
            <w:pPr>
              <w:pStyle w:val="TableText"/>
            </w:pPr>
            <w:r w:rsidRPr="00290578">
              <w:t>No</w:t>
            </w:r>
          </w:p>
        </w:tc>
      </w:tr>
      <w:tr w:rsidR="00521E33" w:rsidRPr="00290578" w:rsidTr="00521E33">
        <w:tc>
          <w:tcPr>
            <w:tcW w:w="540" w:type="dxa"/>
            <w:vMerge/>
            <w:textDirection w:val="btLr"/>
          </w:tcPr>
          <w:p w:rsidR="00521E33" w:rsidRPr="00290578" w:rsidRDefault="00521E33" w:rsidP="0063523D">
            <w:pPr>
              <w:pStyle w:val="TableText"/>
            </w:pPr>
          </w:p>
        </w:tc>
        <w:tc>
          <w:tcPr>
            <w:tcW w:w="2191" w:type="dxa"/>
          </w:tcPr>
          <w:p w:rsidR="00521E33" w:rsidRPr="00290578" w:rsidRDefault="00521E33" w:rsidP="0063523D">
            <w:pPr>
              <w:pStyle w:val="TableText"/>
            </w:pPr>
            <w:r w:rsidRPr="00290578">
              <w:t>Blend of additional non-financial product and service support</w:t>
            </w:r>
          </w:p>
        </w:tc>
        <w:tc>
          <w:tcPr>
            <w:tcW w:w="1780" w:type="dxa"/>
            <w:gridSpan w:val="2"/>
          </w:tcPr>
          <w:p w:rsidR="00521E33" w:rsidRPr="00290578" w:rsidRDefault="00521E33" w:rsidP="0063523D">
            <w:pPr>
              <w:pStyle w:val="TableText"/>
            </w:pPr>
            <w:r w:rsidRPr="00290578">
              <w:t>GBV and health messaging</w:t>
            </w:r>
          </w:p>
        </w:tc>
        <w:tc>
          <w:tcPr>
            <w:tcW w:w="1843" w:type="dxa"/>
          </w:tcPr>
          <w:p w:rsidR="00521E33" w:rsidRPr="00290578" w:rsidRDefault="00521E33" w:rsidP="0063523D">
            <w:pPr>
              <w:pStyle w:val="TableText"/>
            </w:pPr>
            <w:r w:rsidRPr="00290578">
              <w:t>Child protection, nutrition, health messaging, and psychosocial support</w:t>
            </w:r>
          </w:p>
        </w:tc>
        <w:tc>
          <w:tcPr>
            <w:tcW w:w="2721" w:type="dxa"/>
          </w:tcPr>
          <w:p w:rsidR="00521E33" w:rsidRPr="00290578" w:rsidRDefault="00521E33" w:rsidP="0063523D">
            <w:pPr>
              <w:pStyle w:val="TableText"/>
            </w:pPr>
            <w:r w:rsidRPr="00290578">
              <w:t>Literacy and business training, child nutrition, health, child protection, HIV/AIDS and GBV messaging, parenting skills</w:t>
            </w:r>
          </w:p>
        </w:tc>
        <w:tc>
          <w:tcPr>
            <w:tcW w:w="2596" w:type="dxa"/>
          </w:tcPr>
          <w:p w:rsidR="00521E33" w:rsidRPr="00290578" w:rsidRDefault="00521E33" w:rsidP="0063523D">
            <w:pPr>
              <w:pStyle w:val="TableText"/>
            </w:pPr>
            <w:r w:rsidRPr="00290578">
              <w:t>Literacy, household livelihood projects, record keeping, management, parenting, GBV, child protection</w:t>
            </w:r>
          </w:p>
        </w:tc>
        <w:tc>
          <w:tcPr>
            <w:tcW w:w="2225" w:type="dxa"/>
          </w:tcPr>
          <w:p w:rsidR="00521E33" w:rsidRPr="00290578" w:rsidRDefault="00521E33" w:rsidP="0063523D">
            <w:pPr>
              <w:pStyle w:val="TableText"/>
            </w:pPr>
            <w:r w:rsidRPr="00290578">
              <w:t>No</w:t>
            </w:r>
          </w:p>
        </w:tc>
      </w:tr>
      <w:tr w:rsidR="00521E33" w:rsidRPr="00290578" w:rsidTr="00021FAC">
        <w:tc>
          <w:tcPr>
            <w:tcW w:w="540" w:type="dxa"/>
            <w:vMerge w:val="restart"/>
            <w:textDirection w:val="btLr"/>
            <w:vAlign w:val="center"/>
          </w:tcPr>
          <w:p w:rsidR="00521E33" w:rsidRPr="00290578" w:rsidRDefault="00521E33" w:rsidP="00021FAC">
            <w:pPr>
              <w:pStyle w:val="TableText"/>
              <w:keepNext/>
              <w:keepLines/>
              <w:jc w:val="center"/>
            </w:pPr>
            <w:r w:rsidRPr="00290578">
              <w:lastRenderedPageBreak/>
              <w:t>Savings Group Facilitation</w:t>
            </w:r>
          </w:p>
        </w:tc>
        <w:tc>
          <w:tcPr>
            <w:tcW w:w="2191" w:type="dxa"/>
          </w:tcPr>
          <w:p w:rsidR="00521E33" w:rsidRPr="00290578" w:rsidRDefault="00521E33" w:rsidP="0063523D">
            <w:pPr>
              <w:pStyle w:val="TableText"/>
              <w:keepNext/>
              <w:keepLines/>
            </w:pPr>
            <w:r w:rsidRPr="00290578">
              <w:t>Savings group facilitation</w:t>
            </w:r>
          </w:p>
        </w:tc>
        <w:tc>
          <w:tcPr>
            <w:tcW w:w="1780" w:type="dxa"/>
            <w:gridSpan w:val="2"/>
          </w:tcPr>
          <w:p w:rsidR="00521E33" w:rsidRPr="00290578" w:rsidRDefault="00521E33" w:rsidP="0063523D">
            <w:pPr>
              <w:pStyle w:val="TableText"/>
              <w:keepNext/>
              <w:keepLines/>
              <w:rPr>
                <w:rFonts w:eastAsia="Calibri"/>
              </w:rPr>
            </w:pPr>
            <w:r w:rsidRPr="00290578">
              <w:t>Initial external support/mentoring from community volunteers</w:t>
            </w:r>
          </w:p>
        </w:tc>
        <w:tc>
          <w:tcPr>
            <w:tcW w:w="1843" w:type="dxa"/>
          </w:tcPr>
          <w:p w:rsidR="00521E33" w:rsidRPr="00290578" w:rsidRDefault="00521E33" w:rsidP="0063523D">
            <w:pPr>
              <w:pStyle w:val="TableText"/>
              <w:keepNext/>
              <w:keepLines/>
              <w:rPr>
                <w:rFonts w:eastAsia="Calibri"/>
              </w:rPr>
            </w:pPr>
            <w:r w:rsidRPr="00290578">
              <w:t>Initial external support/mentoring from community resource persons</w:t>
            </w:r>
          </w:p>
        </w:tc>
        <w:tc>
          <w:tcPr>
            <w:tcW w:w="2721" w:type="dxa"/>
          </w:tcPr>
          <w:p w:rsidR="00521E33" w:rsidRPr="00290578" w:rsidRDefault="00521E33" w:rsidP="0063523D">
            <w:pPr>
              <w:pStyle w:val="TableText"/>
              <w:keepNext/>
              <w:keepLines/>
            </w:pPr>
            <w:r w:rsidRPr="00290578">
              <w:t>Initial external support/mentoring from economic empowerment workers selected through open and competitive process that includes oral and written exercises in collaboration with VEOs</w:t>
            </w:r>
          </w:p>
        </w:tc>
        <w:tc>
          <w:tcPr>
            <w:tcW w:w="2596" w:type="dxa"/>
          </w:tcPr>
          <w:p w:rsidR="00521E33" w:rsidRPr="00290578" w:rsidRDefault="00521E33" w:rsidP="0063523D">
            <w:pPr>
              <w:pStyle w:val="TableText"/>
              <w:keepNext/>
              <w:keepLines/>
            </w:pPr>
            <w:r w:rsidRPr="00290578">
              <w:t>Initial support/mentoring by empowerment workers recruited through participatory process involving Pact, local sub-partner, and local officials</w:t>
            </w:r>
          </w:p>
        </w:tc>
        <w:tc>
          <w:tcPr>
            <w:tcW w:w="2225" w:type="dxa"/>
          </w:tcPr>
          <w:p w:rsidR="00521E33" w:rsidRPr="00290578" w:rsidRDefault="00521E33" w:rsidP="0063523D">
            <w:pPr>
              <w:pStyle w:val="TableText"/>
              <w:keepNext/>
              <w:keepLines/>
            </w:pPr>
            <w:r w:rsidRPr="00290578">
              <w:t>Initial external support from paid/incentive volunteer or staff; trend now to transition from volunteer/staff member to CSG paid village agent/ private service provider</w:t>
            </w:r>
          </w:p>
        </w:tc>
      </w:tr>
      <w:tr w:rsidR="00521E33" w:rsidRPr="00290578" w:rsidTr="00021FAC">
        <w:tc>
          <w:tcPr>
            <w:tcW w:w="540" w:type="dxa"/>
            <w:vMerge/>
            <w:textDirection w:val="btLr"/>
            <w:vAlign w:val="center"/>
          </w:tcPr>
          <w:p w:rsidR="00521E33" w:rsidRPr="00290578" w:rsidRDefault="00521E33" w:rsidP="00021FAC">
            <w:pPr>
              <w:pStyle w:val="TableText"/>
              <w:jc w:val="center"/>
            </w:pPr>
          </w:p>
        </w:tc>
        <w:tc>
          <w:tcPr>
            <w:tcW w:w="2191" w:type="dxa"/>
          </w:tcPr>
          <w:p w:rsidR="00521E33" w:rsidRPr="00290578" w:rsidRDefault="00521E33" w:rsidP="0063523D">
            <w:pPr>
              <w:pStyle w:val="TableText"/>
              <w:rPr>
                <w:rFonts w:eastAsia="Calibri"/>
              </w:rPr>
            </w:pPr>
            <w:r w:rsidRPr="00290578">
              <w:t>External facilitator (volunteer/staff) paid for by implementing partner</w:t>
            </w:r>
          </w:p>
        </w:tc>
        <w:tc>
          <w:tcPr>
            <w:tcW w:w="1780" w:type="dxa"/>
            <w:gridSpan w:val="2"/>
          </w:tcPr>
          <w:p w:rsidR="00521E33" w:rsidRPr="00290578" w:rsidRDefault="00521E33" w:rsidP="0063523D">
            <w:pPr>
              <w:pStyle w:val="TableText"/>
            </w:pPr>
            <w:r w:rsidRPr="00290578">
              <w:t>TSh30,000–50,000/ month + bicycle</w:t>
            </w:r>
          </w:p>
        </w:tc>
        <w:tc>
          <w:tcPr>
            <w:tcW w:w="1843" w:type="dxa"/>
          </w:tcPr>
          <w:p w:rsidR="00521E33" w:rsidRPr="00290578" w:rsidRDefault="00521E33" w:rsidP="0063523D">
            <w:pPr>
              <w:pStyle w:val="TableText"/>
              <w:rPr>
                <w:rFonts w:eastAsia="Calibri"/>
              </w:rPr>
            </w:pPr>
            <w:r w:rsidRPr="00290578">
              <w:t>No stipend but they receive a bicycle; other orphans and vulnerable children caretaking volunteers TSh30,000/month—some overlap in population</w:t>
            </w:r>
          </w:p>
        </w:tc>
        <w:tc>
          <w:tcPr>
            <w:tcW w:w="2721" w:type="dxa"/>
          </w:tcPr>
          <w:p w:rsidR="00521E33" w:rsidRPr="00290578" w:rsidRDefault="00521E33" w:rsidP="0063523D">
            <w:pPr>
              <w:pStyle w:val="TableText"/>
            </w:pPr>
            <w:r w:rsidRPr="00290578">
              <w:t>Have paid a stipend of TSh20,000, but WEI has discontinued this practice</w:t>
            </w:r>
          </w:p>
        </w:tc>
        <w:tc>
          <w:tcPr>
            <w:tcW w:w="2596" w:type="dxa"/>
          </w:tcPr>
          <w:p w:rsidR="00521E33" w:rsidRPr="00290578" w:rsidRDefault="00521E33" w:rsidP="0063523D">
            <w:pPr>
              <w:pStyle w:val="TableText"/>
            </w:pPr>
            <w:r w:rsidRPr="00290578">
              <w:t xml:space="preserve">Empowerment worker incentives (TSh150,000/ month) </w:t>
            </w:r>
          </w:p>
        </w:tc>
        <w:tc>
          <w:tcPr>
            <w:tcW w:w="2225" w:type="dxa"/>
          </w:tcPr>
          <w:p w:rsidR="00521E33" w:rsidRPr="00290578" w:rsidRDefault="00521E33" w:rsidP="0063523D">
            <w:pPr>
              <w:pStyle w:val="TableText"/>
            </w:pPr>
            <w:r w:rsidRPr="00290578">
              <w:t xml:space="preserve">Varies </w:t>
            </w:r>
          </w:p>
        </w:tc>
      </w:tr>
      <w:tr w:rsidR="00521E33" w:rsidRPr="00290578" w:rsidTr="00021FAC">
        <w:tc>
          <w:tcPr>
            <w:tcW w:w="540" w:type="dxa"/>
            <w:vMerge/>
            <w:textDirection w:val="btLr"/>
            <w:vAlign w:val="center"/>
          </w:tcPr>
          <w:p w:rsidR="00521E33" w:rsidRPr="00290578" w:rsidRDefault="00521E33" w:rsidP="00021FAC">
            <w:pPr>
              <w:pStyle w:val="TableText"/>
              <w:jc w:val="center"/>
            </w:pPr>
          </w:p>
        </w:tc>
        <w:tc>
          <w:tcPr>
            <w:tcW w:w="2191" w:type="dxa"/>
          </w:tcPr>
          <w:p w:rsidR="00521E33" w:rsidRPr="00290578" w:rsidRDefault="00521E33" w:rsidP="0063523D">
            <w:pPr>
              <w:pStyle w:val="TableText"/>
            </w:pPr>
            <w:r w:rsidRPr="00290578">
              <w:t>External facilitator target</w:t>
            </w:r>
          </w:p>
        </w:tc>
        <w:tc>
          <w:tcPr>
            <w:tcW w:w="1780" w:type="dxa"/>
            <w:gridSpan w:val="2"/>
          </w:tcPr>
          <w:p w:rsidR="00521E33" w:rsidRPr="00290578" w:rsidRDefault="00521E33" w:rsidP="0063523D">
            <w:pPr>
              <w:pStyle w:val="TableText"/>
              <w:rPr>
                <w:rFonts w:eastAsia="Calibri"/>
              </w:rPr>
            </w:pPr>
            <w:r w:rsidRPr="00290578">
              <w:t>1 CSG</w:t>
            </w:r>
          </w:p>
        </w:tc>
        <w:tc>
          <w:tcPr>
            <w:tcW w:w="1843" w:type="dxa"/>
          </w:tcPr>
          <w:p w:rsidR="00521E33" w:rsidRPr="00290578" w:rsidRDefault="00521E33" w:rsidP="0063523D">
            <w:pPr>
              <w:pStyle w:val="TableText"/>
            </w:pPr>
            <w:r w:rsidRPr="00290578">
              <w:t>2 CSGs in own community only</w:t>
            </w:r>
          </w:p>
        </w:tc>
        <w:tc>
          <w:tcPr>
            <w:tcW w:w="2721" w:type="dxa"/>
          </w:tcPr>
          <w:p w:rsidR="00521E33" w:rsidRPr="00290578" w:rsidRDefault="00521E33" w:rsidP="0063523D">
            <w:pPr>
              <w:pStyle w:val="TableText"/>
            </w:pPr>
            <w:r w:rsidRPr="00290578">
              <w:t>Work only with CSGs in their village</w:t>
            </w:r>
          </w:p>
        </w:tc>
        <w:tc>
          <w:tcPr>
            <w:tcW w:w="2596" w:type="dxa"/>
          </w:tcPr>
          <w:p w:rsidR="00521E33" w:rsidRPr="00290578" w:rsidRDefault="00521E33" w:rsidP="0063523D">
            <w:pPr>
              <w:pStyle w:val="TableText"/>
              <w:rPr>
                <w:highlight w:val="yellow"/>
              </w:rPr>
            </w:pPr>
            <w:r w:rsidRPr="00290578">
              <w:t>10–15 groups within a ward</w:t>
            </w:r>
          </w:p>
        </w:tc>
        <w:tc>
          <w:tcPr>
            <w:tcW w:w="2225" w:type="dxa"/>
          </w:tcPr>
          <w:p w:rsidR="00521E33" w:rsidRPr="00290578" w:rsidRDefault="00521E33" w:rsidP="0063523D">
            <w:pPr>
              <w:pStyle w:val="TableText"/>
            </w:pPr>
            <w:r w:rsidRPr="00290578">
              <w:t>Varies</w:t>
            </w:r>
          </w:p>
        </w:tc>
      </w:tr>
      <w:tr w:rsidR="00521E33" w:rsidRPr="00290578" w:rsidTr="00021FAC">
        <w:tc>
          <w:tcPr>
            <w:tcW w:w="540" w:type="dxa"/>
            <w:tcBorders>
              <w:top w:val="single" w:sz="4" w:space="0" w:color="2B5A85"/>
            </w:tcBorders>
            <w:textDirection w:val="btLr"/>
            <w:vAlign w:val="center"/>
          </w:tcPr>
          <w:p w:rsidR="00521E33" w:rsidRPr="00290578" w:rsidRDefault="00521E33" w:rsidP="00021FAC">
            <w:pPr>
              <w:pStyle w:val="TableText"/>
              <w:jc w:val="center"/>
            </w:pPr>
            <w:r w:rsidRPr="00290578">
              <w:t>Governance and Management</w:t>
            </w:r>
          </w:p>
        </w:tc>
        <w:tc>
          <w:tcPr>
            <w:tcW w:w="2191" w:type="dxa"/>
          </w:tcPr>
          <w:p w:rsidR="00521E33" w:rsidRPr="00290578" w:rsidDel="00F13962" w:rsidRDefault="00521E33" w:rsidP="0063523D">
            <w:pPr>
              <w:pStyle w:val="TableText"/>
            </w:pPr>
            <w:r w:rsidRPr="00290578">
              <w:t>CSG governance/ management</w:t>
            </w:r>
          </w:p>
        </w:tc>
        <w:tc>
          <w:tcPr>
            <w:tcW w:w="3623" w:type="dxa"/>
            <w:gridSpan w:val="3"/>
          </w:tcPr>
          <w:p w:rsidR="00521E33" w:rsidRPr="00290578" w:rsidDel="00F13962" w:rsidRDefault="00521E33" w:rsidP="0063523D">
            <w:pPr>
              <w:pStyle w:val="TableText"/>
            </w:pPr>
            <w:r w:rsidRPr="00290578">
              <w:t>Five-person governance committee elected by members, including chair, treasurer, secretary, and money counters</w:t>
            </w:r>
          </w:p>
        </w:tc>
        <w:tc>
          <w:tcPr>
            <w:tcW w:w="2721" w:type="dxa"/>
          </w:tcPr>
          <w:p w:rsidR="00521E33" w:rsidRPr="00290578" w:rsidDel="00F13962" w:rsidRDefault="00521E33" w:rsidP="0063523D">
            <w:pPr>
              <w:pStyle w:val="TableText"/>
            </w:pPr>
            <w:r w:rsidRPr="00290578">
              <w:t>Five-person governance committee elected by members, including chair, treasurer, secretary, and money counters</w:t>
            </w:r>
          </w:p>
        </w:tc>
        <w:tc>
          <w:tcPr>
            <w:tcW w:w="2596" w:type="dxa"/>
          </w:tcPr>
          <w:p w:rsidR="00521E33" w:rsidRPr="00290578" w:rsidDel="00F13962" w:rsidRDefault="00521E33" w:rsidP="0063523D">
            <w:pPr>
              <w:pStyle w:val="TableText"/>
              <w:rPr>
                <w:highlight w:val="yellow"/>
              </w:rPr>
            </w:pPr>
            <w:r w:rsidRPr="00290578">
              <w:t>Four-person management committee elected by members, including chair, treasurer, controller, and secretary</w:t>
            </w:r>
          </w:p>
        </w:tc>
        <w:tc>
          <w:tcPr>
            <w:tcW w:w="2225" w:type="dxa"/>
          </w:tcPr>
          <w:p w:rsidR="00521E33" w:rsidRPr="00290578" w:rsidDel="00F13962" w:rsidRDefault="00521E33" w:rsidP="0063523D">
            <w:pPr>
              <w:pStyle w:val="TableText"/>
            </w:pPr>
            <w:r w:rsidRPr="00290578">
              <w:t>All models; key principles: democratically elected management re-elected annually; many international NGOs seek majority women in leadership</w:t>
            </w:r>
          </w:p>
        </w:tc>
      </w:tr>
      <w:tr w:rsidR="00521E33" w:rsidRPr="00290578" w:rsidTr="00521E33">
        <w:tc>
          <w:tcPr>
            <w:tcW w:w="540" w:type="dxa"/>
            <w:vMerge w:val="restart"/>
            <w:textDirection w:val="btLr"/>
          </w:tcPr>
          <w:p w:rsidR="00521E33" w:rsidRPr="00290578" w:rsidRDefault="0063523D" w:rsidP="0063523D">
            <w:pPr>
              <w:pStyle w:val="TableText"/>
              <w:keepNext/>
              <w:keepLines/>
              <w:jc w:val="center"/>
              <w:rPr>
                <w:rFonts w:eastAsia="Calibri"/>
              </w:rPr>
            </w:pPr>
            <w:r w:rsidRPr="00290578">
              <w:lastRenderedPageBreak/>
              <w:t>Governance and Management</w:t>
            </w:r>
          </w:p>
        </w:tc>
        <w:tc>
          <w:tcPr>
            <w:tcW w:w="2191" w:type="dxa"/>
          </w:tcPr>
          <w:p w:rsidR="00521E33" w:rsidRPr="00290578" w:rsidRDefault="00521E33" w:rsidP="0063523D">
            <w:pPr>
              <w:pStyle w:val="TableText"/>
              <w:keepNext/>
              <w:keepLines/>
            </w:pPr>
            <w:r w:rsidRPr="00290578">
              <w:t>Record keeping</w:t>
            </w:r>
          </w:p>
        </w:tc>
        <w:tc>
          <w:tcPr>
            <w:tcW w:w="3623" w:type="dxa"/>
            <w:gridSpan w:val="3"/>
          </w:tcPr>
          <w:p w:rsidR="00521E33" w:rsidRPr="00290578" w:rsidRDefault="00521E33" w:rsidP="0063523D">
            <w:pPr>
              <w:pStyle w:val="TableText"/>
              <w:keepNext/>
              <w:keepLines/>
            </w:pPr>
            <w:r w:rsidRPr="00290578">
              <w:t>CSGs use passbooks and ledgers to account for savings, loan, social, and MVC Fund balances</w:t>
            </w:r>
          </w:p>
        </w:tc>
        <w:tc>
          <w:tcPr>
            <w:tcW w:w="2721" w:type="dxa"/>
          </w:tcPr>
          <w:p w:rsidR="00521E33" w:rsidRPr="00290578" w:rsidRDefault="00521E33" w:rsidP="0063523D">
            <w:pPr>
              <w:pStyle w:val="TableText"/>
              <w:keepNext/>
              <w:keepLines/>
            </w:pPr>
            <w:r w:rsidRPr="00290578">
              <w:t>CSGs use passbooks and ledgers to account for savings, loan, social, and MVC Fund balances</w:t>
            </w:r>
          </w:p>
        </w:tc>
        <w:tc>
          <w:tcPr>
            <w:tcW w:w="2596" w:type="dxa"/>
          </w:tcPr>
          <w:p w:rsidR="00521E33" w:rsidRPr="00290578" w:rsidRDefault="00521E33" w:rsidP="0063523D">
            <w:pPr>
              <w:pStyle w:val="TableText"/>
              <w:keepNext/>
              <w:keepLines/>
            </w:pPr>
            <w:r w:rsidRPr="00290578">
              <w:t xml:space="preserve">The WORTH manual includes 11 financial records and 3 forms to account for savings, loans, </w:t>
            </w:r>
            <w:proofErr w:type="gramStart"/>
            <w:r w:rsidRPr="00290578">
              <w:t>linkages</w:t>
            </w:r>
            <w:proofErr w:type="gramEnd"/>
            <w:r w:rsidRPr="00290578">
              <w:t xml:space="preserve"> to banks, collateral, and financial statements; WORTH in Tanzania uses 8.</w:t>
            </w:r>
          </w:p>
        </w:tc>
        <w:tc>
          <w:tcPr>
            <w:tcW w:w="2225" w:type="dxa"/>
          </w:tcPr>
          <w:p w:rsidR="00521E33" w:rsidRPr="00290578" w:rsidRDefault="00521E33" w:rsidP="0063523D">
            <w:pPr>
              <w:pStyle w:val="TableText"/>
              <w:keepNext/>
              <w:keepLines/>
            </w:pPr>
            <w:r w:rsidRPr="00290578">
              <w:t xml:space="preserve">Variations of passbooks and ledgers or passbook-only models </w:t>
            </w:r>
          </w:p>
        </w:tc>
      </w:tr>
      <w:tr w:rsidR="00521E33" w:rsidRPr="00290578" w:rsidTr="00521E33">
        <w:tc>
          <w:tcPr>
            <w:tcW w:w="540" w:type="dxa"/>
            <w:vMerge/>
          </w:tcPr>
          <w:p w:rsidR="00521E33" w:rsidRPr="00290578" w:rsidRDefault="00521E33" w:rsidP="0063523D">
            <w:pPr>
              <w:pStyle w:val="TableText"/>
            </w:pPr>
          </w:p>
        </w:tc>
        <w:tc>
          <w:tcPr>
            <w:tcW w:w="2191" w:type="dxa"/>
          </w:tcPr>
          <w:p w:rsidR="00521E33" w:rsidRPr="00290578" w:rsidRDefault="00521E33" w:rsidP="0063523D">
            <w:pPr>
              <w:pStyle w:val="TableText"/>
            </w:pPr>
            <w:r w:rsidRPr="00290578">
              <w:t>Existence of cash box</w:t>
            </w:r>
          </w:p>
        </w:tc>
        <w:tc>
          <w:tcPr>
            <w:tcW w:w="3623" w:type="dxa"/>
            <w:gridSpan w:val="3"/>
          </w:tcPr>
          <w:p w:rsidR="00521E33" w:rsidRPr="00290578" w:rsidRDefault="00521E33" w:rsidP="0063523D">
            <w:pPr>
              <w:pStyle w:val="TableText"/>
            </w:pPr>
            <w:r w:rsidRPr="00290578">
              <w:t>Yes</w:t>
            </w:r>
          </w:p>
        </w:tc>
        <w:tc>
          <w:tcPr>
            <w:tcW w:w="2721" w:type="dxa"/>
          </w:tcPr>
          <w:p w:rsidR="00521E33" w:rsidRPr="00290578" w:rsidRDefault="00521E33" w:rsidP="0063523D">
            <w:pPr>
              <w:pStyle w:val="TableText"/>
            </w:pPr>
            <w:r w:rsidRPr="00290578">
              <w:t>Yes</w:t>
            </w:r>
          </w:p>
        </w:tc>
        <w:tc>
          <w:tcPr>
            <w:tcW w:w="2596" w:type="dxa"/>
          </w:tcPr>
          <w:p w:rsidR="00521E33" w:rsidRPr="00290578" w:rsidRDefault="00521E33" w:rsidP="0063523D">
            <w:pPr>
              <w:pStyle w:val="TableText"/>
              <w:rPr>
                <w:highlight w:val="yellow"/>
              </w:rPr>
            </w:pPr>
            <w:r w:rsidRPr="00290578">
              <w:t>Yes</w:t>
            </w:r>
          </w:p>
        </w:tc>
        <w:tc>
          <w:tcPr>
            <w:tcW w:w="2225" w:type="dxa"/>
          </w:tcPr>
          <w:p w:rsidR="00521E33" w:rsidRPr="00290578" w:rsidRDefault="00521E33" w:rsidP="0063523D">
            <w:pPr>
              <w:pStyle w:val="TableText"/>
            </w:pPr>
            <w:r w:rsidRPr="00290578">
              <w:t>Yes</w:t>
            </w:r>
          </w:p>
        </w:tc>
      </w:tr>
      <w:tr w:rsidR="00521E33" w:rsidRPr="00290578" w:rsidTr="00521E33">
        <w:tc>
          <w:tcPr>
            <w:tcW w:w="540" w:type="dxa"/>
            <w:vMerge/>
          </w:tcPr>
          <w:p w:rsidR="00521E33" w:rsidRPr="00290578" w:rsidRDefault="00521E33" w:rsidP="0063523D">
            <w:pPr>
              <w:pStyle w:val="TableText"/>
            </w:pPr>
          </w:p>
        </w:tc>
        <w:tc>
          <w:tcPr>
            <w:tcW w:w="2191" w:type="dxa"/>
          </w:tcPr>
          <w:p w:rsidR="00521E33" w:rsidRPr="00290578" w:rsidRDefault="00521E33" w:rsidP="0063523D">
            <w:pPr>
              <w:pStyle w:val="TableText"/>
            </w:pPr>
            <w:r w:rsidRPr="00290578">
              <w:t>Use of a management information system (MIS)</w:t>
            </w:r>
          </w:p>
        </w:tc>
        <w:tc>
          <w:tcPr>
            <w:tcW w:w="3623" w:type="dxa"/>
            <w:gridSpan w:val="3"/>
          </w:tcPr>
          <w:p w:rsidR="00521E33" w:rsidRPr="00290578" w:rsidRDefault="00521E33" w:rsidP="0063523D">
            <w:pPr>
              <w:pStyle w:val="TableText"/>
            </w:pPr>
            <w:r w:rsidRPr="00290578">
              <w:t>Data captured in MS Excel by prime and sub-partners; Some FHI 360 partners are using the VSL Associates MIS</w:t>
            </w:r>
          </w:p>
        </w:tc>
        <w:tc>
          <w:tcPr>
            <w:tcW w:w="2721" w:type="dxa"/>
          </w:tcPr>
          <w:p w:rsidR="00521E33" w:rsidRPr="00290578" w:rsidRDefault="00521E33" w:rsidP="0063523D">
            <w:pPr>
              <w:pStyle w:val="TableText"/>
            </w:pPr>
            <w:r w:rsidRPr="00290578">
              <w:t>Starting use of VSL Associates MIS</w:t>
            </w:r>
          </w:p>
        </w:tc>
        <w:tc>
          <w:tcPr>
            <w:tcW w:w="2596" w:type="dxa"/>
          </w:tcPr>
          <w:p w:rsidR="00521E33" w:rsidRPr="00290578" w:rsidRDefault="00521E33" w:rsidP="0063523D">
            <w:pPr>
              <w:pStyle w:val="TableText"/>
            </w:pPr>
            <w:r w:rsidRPr="00290578">
              <w:t xml:space="preserve">Use the Global MIS, an internal Pact system </w:t>
            </w:r>
          </w:p>
        </w:tc>
        <w:tc>
          <w:tcPr>
            <w:tcW w:w="2225" w:type="dxa"/>
          </w:tcPr>
          <w:p w:rsidR="00521E33" w:rsidRPr="00290578" w:rsidRDefault="00521E33" w:rsidP="0063523D">
            <w:pPr>
              <w:pStyle w:val="TableText"/>
            </w:pPr>
            <w:r w:rsidRPr="00290578">
              <w:t>VSL Associates MIS is considered the global standard</w:t>
            </w:r>
          </w:p>
        </w:tc>
      </w:tr>
    </w:tbl>
    <w:p w:rsidR="00521E33" w:rsidRPr="00290578" w:rsidRDefault="00521E33" w:rsidP="00521E33">
      <w:pPr>
        <w:rPr>
          <w:rFonts w:cs="Arial"/>
          <w:szCs w:val="22"/>
        </w:rPr>
      </w:pPr>
      <w:r w:rsidRPr="00290578">
        <w:rPr>
          <w:rFonts w:cs="Arial"/>
          <w:szCs w:val="22"/>
        </w:rPr>
        <w:t xml:space="preserve"> </w:t>
      </w:r>
    </w:p>
    <w:p w:rsidR="00021FAC" w:rsidRDefault="00021FAC" w:rsidP="00D32300">
      <w:pPr>
        <w:pStyle w:val="Heading2"/>
        <w:sectPr w:rsidR="00021FAC" w:rsidSect="00021FAC">
          <w:footerReference w:type="even" r:id="rId23"/>
          <w:footerReference w:type="default" r:id="rId24"/>
          <w:pgSz w:w="15840" w:h="12240" w:orient="landscape" w:code="1"/>
          <w:pgMar w:top="1440" w:right="2160" w:bottom="1440" w:left="1440" w:header="720" w:footer="360" w:gutter="0"/>
          <w:cols w:space="720"/>
        </w:sectPr>
      </w:pPr>
    </w:p>
    <w:p w:rsidR="00521E33" w:rsidRPr="00290578" w:rsidRDefault="00521E33" w:rsidP="00D32300">
      <w:pPr>
        <w:pStyle w:val="Heading2"/>
      </w:pPr>
      <w:bookmarkStart w:id="37" w:name="_Toc404177167"/>
      <w:r w:rsidRPr="00290578">
        <w:lastRenderedPageBreak/>
        <w:t xml:space="preserve">Annex </w:t>
      </w:r>
      <w:r w:rsidR="00103759">
        <w:t>2</w:t>
      </w:r>
      <w:r w:rsidRPr="00290578">
        <w:t>: MVC Funds by PT Partner (as of May 2014)</w:t>
      </w:r>
      <w:bookmarkEnd w:id="37"/>
    </w:p>
    <w:tbl>
      <w:tblPr>
        <w:tblStyle w:val="TableGrid"/>
        <w:tblW w:w="13855" w:type="dxa"/>
        <w:tblInd w:w="-155" w:type="dxa"/>
        <w:tblLayout w:type="fixed"/>
        <w:tblLook w:val="04A0" w:firstRow="1" w:lastRow="0" w:firstColumn="1" w:lastColumn="0" w:noHBand="0" w:noVBand="1"/>
      </w:tblPr>
      <w:tblGrid>
        <w:gridCol w:w="990"/>
        <w:gridCol w:w="1124"/>
        <w:gridCol w:w="1080"/>
        <w:gridCol w:w="1170"/>
        <w:gridCol w:w="1170"/>
        <w:gridCol w:w="1620"/>
        <w:gridCol w:w="1391"/>
        <w:gridCol w:w="1440"/>
        <w:gridCol w:w="1260"/>
        <w:gridCol w:w="1170"/>
        <w:gridCol w:w="1440"/>
      </w:tblGrid>
      <w:tr w:rsidR="00D32300" w:rsidRPr="00D32300" w:rsidTr="009D02B5">
        <w:trPr>
          <w:cnfStyle w:val="100000000000" w:firstRow="1" w:lastRow="0" w:firstColumn="0" w:lastColumn="0" w:oddVBand="0" w:evenVBand="0" w:oddHBand="0" w:evenHBand="0" w:firstRowFirstColumn="0" w:firstRowLastColumn="0" w:lastRowFirstColumn="0" w:lastRowLastColumn="0"/>
        </w:trPr>
        <w:tc>
          <w:tcPr>
            <w:tcW w:w="990" w:type="dxa"/>
            <w:vAlign w:val="bottom"/>
            <w:hideMark/>
          </w:tcPr>
          <w:p w:rsidR="00521E33" w:rsidRPr="00D32300" w:rsidRDefault="00521E33" w:rsidP="00D32300">
            <w:pPr>
              <w:pStyle w:val="TableText"/>
              <w:rPr>
                <w:b w:val="0"/>
              </w:rPr>
            </w:pPr>
            <w:r w:rsidRPr="00D32300">
              <w:t>Partner</w:t>
            </w:r>
          </w:p>
        </w:tc>
        <w:tc>
          <w:tcPr>
            <w:tcW w:w="1124" w:type="dxa"/>
            <w:vAlign w:val="bottom"/>
            <w:hideMark/>
          </w:tcPr>
          <w:p w:rsidR="00521E33" w:rsidRPr="00D32300" w:rsidRDefault="00521E33" w:rsidP="00D32300">
            <w:pPr>
              <w:pStyle w:val="TableText"/>
              <w:rPr>
                <w:b w:val="0"/>
              </w:rPr>
            </w:pPr>
            <w:r w:rsidRPr="00D32300">
              <w:t>Region</w:t>
            </w:r>
          </w:p>
        </w:tc>
        <w:tc>
          <w:tcPr>
            <w:tcW w:w="1080" w:type="dxa"/>
            <w:vAlign w:val="bottom"/>
            <w:hideMark/>
          </w:tcPr>
          <w:p w:rsidR="00521E33" w:rsidRPr="00D32300" w:rsidRDefault="00521E33" w:rsidP="009D02B5">
            <w:pPr>
              <w:pStyle w:val="TableText"/>
              <w:jc w:val="center"/>
              <w:rPr>
                <w:b w:val="0"/>
              </w:rPr>
            </w:pPr>
            <w:r w:rsidRPr="00D32300">
              <w:t>Number of CSGs with MVC Fund</w:t>
            </w:r>
          </w:p>
        </w:tc>
        <w:tc>
          <w:tcPr>
            <w:tcW w:w="1170" w:type="dxa"/>
            <w:vAlign w:val="bottom"/>
            <w:hideMark/>
          </w:tcPr>
          <w:p w:rsidR="00521E33" w:rsidRPr="00D32300" w:rsidRDefault="00521E33" w:rsidP="009D02B5">
            <w:pPr>
              <w:pStyle w:val="TableText"/>
              <w:jc w:val="center"/>
              <w:rPr>
                <w:b w:val="0"/>
              </w:rPr>
            </w:pPr>
            <w:r w:rsidRPr="00D32300">
              <w:t>Number of CSGs in Region</w:t>
            </w:r>
          </w:p>
        </w:tc>
        <w:tc>
          <w:tcPr>
            <w:tcW w:w="1170" w:type="dxa"/>
            <w:vAlign w:val="bottom"/>
            <w:hideMark/>
          </w:tcPr>
          <w:p w:rsidR="00521E33" w:rsidRPr="00D32300" w:rsidRDefault="00521E33" w:rsidP="009D02B5">
            <w:pPr>
              <w:pStyle w:val="TableText"/>
              <w:jc w:val="center"/>
              <w:rPr>
                <w:b w:val="0"/>
              </w:rPr>
            </w:pPr>
            <w:r w:rsidRPr="00D32300">
              <w:t>Number of Children Served</w:t>
            </w:r>
          </w:p>
        </w:tc>
        <w:tc>
          <w:tcPr>
            <w:tcW w:w="1620" w:type="dxa"/>
            <w:vAlign w:val="bottom"/>
            <w:hideMark/>
          </w:tcPr>
          <w:p w:rsidR="00521E33" w:rsidRPr="00D32300" w:rsidRDefault="00521E33" w:rsidP="009D02B5">
            <w:pPr>
              <w:pStyle w:val="TableText"/>
              <w:jc w:val="center"/>
              <w:rPr>
                <w:b w:val="0"/>
              </w:rPr>
            </w:pPr>
            <w:r w:rsidRPr="00D32300">
              <w:t>Type of Support</w:t>
            </w:r>
          </w:p>
        </w:tc>
        <w:tc>
          <w:tcPr>
            <w:tcW w:w="1391" w:type="dxa"/>
            <w:vAlign w:val="bottom"/>
            <w:hideMark/>
          </w:tcPr>
          <w:p w:rsidR="00521E33" w:rsidRPr="00D32300" w:rsidRDefault="00521E33" w:rsidP="009D02B5">
            <w:pPr>
              <w:pStyle w:val="TableText"/>
              <w:jc w:val="center"/>
              <w:rPr>
                <w:b w:val="0"/>
              </w:rPr>
            </w:pPr>
            <w:r w:rsidRPr="00D32300">
              <w:t>Cumulative MVC Funds (</w:t>
            </w:r>
            <w:proofErr w:type="spellStart"/>
            <w:r w:rsidRPr="00D32300">
              <w:t>TSh</w:t>
            </w:r>
            <w:proofErr w:type="spellEnd"/>
            <w:r w:rsidRPr="00D32300">
              <w:t>)</w:t>
            </w:r>
          </w:p>
        </w:tc>
        <w:tc>
          <w:tcPr>
            <w:tcW w:w="1440" w:type="dxa"/>
            <w:vAlign w:val="bottom"/>
            <w:hideMark/>
          </w:tcPr>
          <w:p w:rsidR="00521E33" w:rsidRPr="00D32300" w:rsidRDefault="00521E33" w:rsidP="009D02B5">
            <w:pPr>
              <w:pStyle w:val="TableText"/>
              <w:jc w:val="center"/>
              <w:rPr>
                <w:b w:val="0"/>
              </w:rPr>
            </w:pPr>
            <w:r w:rsidRPr="00D32300">
              <w:t>Cumulative MVC Funds (US$)</w:t>
            </w:r>
          </w:p>
        </w:tc>
        <w:tc>
          <w:tcPr>
            <w:tcW w:w="1260" w:type="dxa"/>
            <w:vAlign w:val="bottom"/>
            <w:hideMark/>
          </w:tcPr>
          <w:p w:rsidR="00521E33" w:rsidRPr="00D32300" w:rsidRDefault="00521E33" w:rsidP="009D02B5">
            <w:pPr>
              <w:pStyle w:val="TableText"/>
              <w:jc w:val="center"/>
              <w:rPr>
                <w:b w:val="0"/>
              </w:rPr>
            </w:pPr>
            <w:r w:rsidRPr="00D32300">
              <w:t>Per Child Support (</w:t>
            </w:r>
            <w:proofErr w:type="spellStart"/>
            <w:r w:rsidRPr="00D32300">
              <w:t>TSh</w:t>
            </w:r>
            <w:proofErr w:type="spellEnd"/>
            <w:r w:rsidRPr="00D32300">
              <w:t>)</w:t>
            </w:r>
          </w:p>
        </w:tc>
        <w:tc>
          <w:tcPr>
            <w:tcW w:w="1170" w:type="dxa"/>
            <w:vAlign w:val="bottom"/>
            <w:hideMark/>
          </w:tcPr>
          <w:p w:rsidR="00521E33" w:rsidRPr="00D32300" w:rsidRDefault="00521E33" w:rsidP="009D02B5">
            <w:pPr>
              <w:pStyle w:val="TableText"/>
              <w:jc w:val="center"/>
              <w:rPr>
                <w:b w:val="0"/>
              </w:rPr>
            </w:pPr>
            <w:r w:rsidRPr="00D32300">
              <w:t>Per Child Support (US$)</w:t>
            </w:r>
          </w:p>
        </w:tc>
        <w:tc>
          <w:tcPr>
            <w:tcW w:w="1440" w:type="dxa"/>
            <w:vAlign w:val="bottom"/>
            <w:hideMark/>
          </w:tcPr>
          <w:p w:rsidR="00521E33" w:rsidRPr="00D32300" w:rsidRDefault="00521E33" w:rsidP="009D02B5">
            <w:pPr>
              <w:pStyle w:val="TableText"/>
              <w:jc w:val="center"/>
              <w:rPr>
                <w:b w:val="0"/>
              </w:rPr>
            </w:pPr>
            <w:r w:rsidRPr="00D32300">
              <w:t>Percentage of Groups with MVC Funds</w:t>
            </w:r>
          </w:p>
        </w:tc>
      </w:tr>
      <w:tr w:rsidR="00D32300" w:rsidRPr="00D32300" w:rsidTr="009D02B5">
        <w:tc>
          <w:tcPr>
            <w:tcW w:w="990" w:type="dxa"/>
            <w:vAlign w:val="bottom"/>
            <w:hideMark/>
          </w:tcPr>
          <w:p w:rsidR="00521E33" w:rsidRPr="00D32300" w:rsidRDefault="00521E33" w:rsidP="00D32300">
            <w:pPr>
              <w:pStyle w:val="TableText"/>
            </w:pPr>
            <w:r w:rsidRPr="00D32300">
              <w:t>Pact</w:t>
            </w:r>
            <w:r w:rsidRPr="00D32300">
              <w:rPr>
                <w:rStyle w:val="FootnoteReference"/>
                <w:rFonts w:cs="Arial"/>
              </w:rPr>
              <w:footnoteReference w:id="7"/>
            </w:r>
          </w:p>
        </w:tc>
        <w:tc>
          <w:tcPr>
            <w:tcW w:w="1124" w:type="dxa"/>
            <w:vAlign w:val="bottom"/>
            <w:hideMark/>
          </w:tcPr>
          <w:p w:rsidR="00521E33" w:rsidRPr="00D32300" w:rsidRDefault="00521E33" w:rsidP="00D32300">
            <w:pPr>
              <w:pStyle w:val="TableText"/>
            </w:pPr>
            <w:r w:rsidRPr="00D32300">
              <w:t>Mara</w:t>
            </w:r>
          </w:p>
        </w:tc>
        <w:tc>
          <w:tcPr>
            <w:tcW w:w="1080" w:type="dxa"/>
            <w:vAlign w:val="bottom"/>
            <w:hideMark/>
          </w:tcPr>
          <w:p w:rsidR="00521E33" w:rsidRPr="00D32300" w:rsidRDefault="00521E33" w:rsidP="009D02B5">
            <w:pPr>
              <w:pStyle w:val="TableText"/>
              <w:jc w:val="center"/>
            </w:pPr>
            <w:r w:rsidRPr="00D32300">
              <w:t>14</w:t>
            </w:r>
          </w:p>
        </w:tc>
        <w:tc>
          <w:tcPr>
            <w:tcW w:w="1170" w:type="dxa"/>
            <w:vAlign w:val="bottom"/>
            <w:hideMark/>
          </w:tcPr>
          <w:p w:rsidR="00521E33" w:rsidRPr="00D32300" w:rsidRDefault="00521E33" w:rsidP="009D02B5">
            <w:pPr>
              <w:pStyle w:val="TableText"/>
              <w:jc w:val="center"/>
            </w:pPr>
            <w:r w:rsidRPr="00D32300">
              <w:t>538</w:t>
            </w:r>
          </w:p>
        </w:tc>
        <w:tc>
          <w:tcPr>
            <w:tcW w:w="1170" w:type="dxa"/>
            <w:vAlign w:val="bottom"/>
            <w:hideMark/>
          </w:tcPr>
          <w:p w:rsidR="00521E33" w:rsidRPr="00D32300" w:rsidRDefault="00521E33" w:rsidP="009D02B5">
            <w:pPr>
              <w:pStyle w:val="TableText"/>
              <w:jc w:val="center"/>
            </w:pPr>
            <w:r w:rsidRPr="00D32300">
              <w:t>32</w:t>
            </w:r>
          </w:p>
        </w:tc>
        <w:tc>
          <w:tcPr>
            <w:tcW w:w="1620" w:type="dxa"/>
            <w:vAlign w:val="bottom"/>
            <w:hideMark/>
          </w:tcPr>
          <w:p w:rsidR="00521E33" w:rsidRPr="00D32300" w:rsidRDefault="00521E33" w:rsidP="009D02B5">
            <w:pPr>
              <w:pStyle w:val="TableText"/>
              <w:jc w:val="center"/>
            </w:pPr>
            <w:r w:rsidRPr="00D32300">
              <w:t>Cash and in-kind</w:t>
            </w:r>
          </w:p>
        </w:tc>
        <w:tc>
          <w:tcPr>
            <w:tcW w:w="1391" w:type="dxa"/>
            <w:vAlign w:val="bottom"/>
            <w:hideMark/>
          </w:tcPr>
          <w:p w:rsidR="00521E33" w:rsidRPr="00D32300" w:rsidRDefault="00521E33" w:rsidP="009D02B5">
            <w:pPr>
              <w:pStyle w:val="TableText"/>
              <w:jc w:val="center"/>
            </w:pPr>
            <w:r w:rsidRPr="00D32300">
              <w:t>883,000</w:t>
            </w:r>
          </w:p>
        </w:tc>
        <w:tc>
          <w:tcPr>
            <w:tcW w:w="1440" w:type="dxa"/>
            <w:vAlign w:val="bottom"/>
            <w:hideMark/>
          </w:tcPr>
          <w:p w:rsidR="00521E33" w:rsidRPr="00D32300" w:rsidRDefault="00521E33" w:rsidP="009D02B5">
            <w:pPr>
              <w:pStyle w:val="TableText"/>
              <w:jc w:val="center"/>
            </w:pPr>
            <w:r w:rsidRPr="00D32300">
              <w:t>547</w:t>
            </w:r>
          </w:p>
        </w:tc>
        <w:tc>
          <w:tcPr>
            <w:tcW w:w="1260" w:type="dxa"/>
            <w:noWrap/>
            <w:vAlign w:val="bottom"/>
            <w:hideMark/>
          </w:tcPr>
          <w:p w:rsidR="00521E33" w:rsidRPr="00D32300" w:rsidRDefault="00521E33" w:rsidP="009D02B5">
            <w:pPr>
              <w:pStyle w:val="TableText"/>
              <w:jc w:val="center"/>
            </w:pPr>
            <w:r w:rsidRPr="00D32300">
              <w:t>27,593.75</w:t>
            </w:r>
          </w:p>
        </w:tc>
        <w:tc>
          <w:tcPr>
            <w:tcW w:w="1170" w:type="dxa"/>
            <w:noWrap/>
            <w:vAlign w:val="bottom"/>
            <w:hideMark/>
          </w:tcPr>
          <w:p w:rsidR="00521E33" w:rsidRPr="00D32300" w:rsidRDefault="00521E33" w:rsidP="009D02B5">
            <w:pPr>
              <w:pStyle w:val="TableText"/>
              <w:jc w:val="center"/>
            </w:pPr>
            <w:r w:rsidRPr="00D32300">
              <w:t>17.09</w:t>
            </w:r>
          </w:p>
        </w:tc>
        <w:tc>
          <w:tcPr>
            <w:tcW w:w="1440" w:type="dxa"/>
            <w:noWrap/>
            <w:vAlign w:val="bottom"/>
            <w:hideMark/>
          </w:tcPr>
          <w:p w:rsidR="00521E33" w:rsidRPr="00D32300" w:rsidRDefault="00521E33" w:rsidP="009D02B5">
            <w:pPr>
              <w:pStyle w:val="TableText"/>
              <w:jc w:val="center"/>
            </w:pPr>
            <w:r w:rsidRPr="00D32300">
              <w:t>2.6%</w:t>
            </w:r>
          </w:p>
        </w:tc>
      </w:tr>
      <w:tr w:rsidR="00D32300" w:rsidRPr="00D32300" w:rsidTr="009D02B5">
        <w:tc>
          <w:tcPr>
            <w:tcW w:w="990" w:type="dxa"/>
            <w:vAlign w:val="bottom"/>
            <w:hideMark/>
          </w:tcPr>
          <w:p w:rsidR="00521E33" w:rsidRPr="00D32300" w:rsidRDefault="00521E33" w:rsidP="00D32300">
            <w:pPr>
              <w:pStyle w:val="TableText"/>
            </w:pPr>
            <w:r w:rsidRPr="00D32300">
              <w:t>Pact</w:t>
            </w:r>
          </w:p>
        </w:tc>
        <w:tc>
          <w:tcPr>
            <w:tcW w:w="1124" w:type="dxa"/>
            <w:vAlign w:val="bottom"/>
            <w:hideMark/>
          </w:tcPr>
          <w:p w:rsidR="00521E33" w:rsidRPr="00D32300" w:rsidRDefault="00521E33" w:rsidP="00D32300">
            <w:pPr>
              <w:pStyle w:val="TableText"/>
            </w:pPr>
            <w:proofErr w:type="spellStart"/>
            <w:r w:rsidRPr="00D32300">
              <w:t>Kagera</w:t>
            </w:r>
            <w:proofErr w:type="spellEnd"/>
          </w:p>
        </w:tc>
        <w:tc>
          <w:tcPr>
            <w:tcW w:w="1080" w:type="dxa"/>
            <w:vAlign w:val="bottom"/>
            <w:hideMark/>
          </w:tcPr>
          <w:p w:rsidR="00521E33" w:rsidRPr="00D32300" w:rsidRDefault="00521E33" w:rsidP="009D02B5">
            <w:pPr>
              <w:pStyle w:val="TableText"/>
              <w:jc w:val="center"/>
            </w:pPr>
            <w:r w:rsidRPr="00D32300">
              <w:t>199</w:t>
            </w:r>
          </w:p>
        </w:tc>
        <w:tc>
          <w:tcPr>
            <w:tcW w:w="1170" w:type="dxa"/>
            <w:vAlign w:val="bottom"/>
            <w:hideMark/>
          </w:tcPr>
          <w:p w:rsidR="00521E33" w:rsidRPr="00D32300" w:rsidRDefault="00521E33" w:rsidP="009D02B5">
            <w:pPr>
              <w:pStyle w:val="TableText"/>
              <w:jc w:val="center"/>
            </w:pPr>
            <w:r w:rsidRPr="00D32300">
              <w:t>694</w:t>
            </w:r>
          </w:p>
        </w:tc>
        <w:tc>
          <w:tcPr>
            <w:tcW w:w="1170" w:type="dxa"/>
            <w:vAlign w:val="bottom"/>
            <w:hideMark/>
          </w:tcPr>
          <w:p w:rsidR="00521E33" w:rsidRPr="00D32300" w:rsidRDefault="00521E33" w:rsidP="009D02B5">
            <w:pPr>
              <w:pStyle w:val="TableText"/>
              <w:jc w:val="center"/>
            </w:pPr>
            <w:r w:rsidRPr="00D32300">
              <w:t>684</w:t>
            </w:r>
          </w:p>
        </w:tc>
        <w:tc>
          <w:tcPr>
            <w:tcW w:w="1620" w:type="dxa"/>
            <w:vAlign w:val="bottom"/>
            <w:hideMark/>
          </w:tcPr>
          <w:p w:rsidR="00521E33" w:rsidRPr="00D32300" w:rsidRDefault="00521E33" w:rsidP="009D02B5">
            <w:pPr>
              <w:pStyle w:val="TableText"/>
              <w:jc w:val="center"/>
            </w:pPr>
            <w:r w:rsidRPr="00D32300">
              <w:t>Cash and in-kind</w:t>
            </w:r>
          </w:p>
        </w:tc>
        <w:tc>
          <w:tcPr>
            <w:tcW w:w="1391" w:type="dxa"/>
            <w:vAlign w:val="bottom"/>
            <w:hideMark/>
          </w:tcPr>
          <w:p w:rsidR="00521E33" w:rsidRPr="00D32300" w:rsidRDefault="00521E33" w:rsidP="009D02B5">
            <w:pPr>
              <w:pStyle w:val="TableText"/>
              <w:jc w:val="center"/>
            </w:pPr>
            <w:r w:rsidRPr="00D32300">
              <w:t>7,522,000</w:t>
            </w:r>
          </w:p>
        </w:tc>
        <w:tc>
          <w:tcPr>
            <w:tcW w:w="1440" w:type="dxa"/>
            <w:vAlign w:val="bottom"/>
            <w:hideMark/>
          </w:tcPr>
          <w:p w:rsidR="00521E33" w:rsidRPr="00D32300" w:rsidRDefault="00521E33" w:rsidP="009D02B5">
            <w:pPr>
              <w:pStyle w:val="TableText"/>
              <w:jc w:val="center"/>
            </w:pPr>
            <w:r w:rsidRPr="00D32300">
              <w:t>4,658</w:t>
            </w:r>
          </w:p>
        </w:tc>
        <w:tc>
          <w:tcPr>
            <w:tcW w:w="1260" w:type="dxa"/>
            <w:noWrap/>
            <w:vAlign w:val="bottom"/>
            <w:hideMark/>
          </w:tcPr>
          <w:p w:rsidR="00521E33" w:rsidRPr="00D32300" w:rsidRDefault="00521E33" w:rsidP="009D02B5">
            <w:pPr>
              <w:pStyle w:val="TableText"/>
              <w:jc w:val="center"/>
            </w:pPr>
            <w:r w:rsidRPr="00D32300">
              <w:t>10,997.08</w:t>
            </w:r>
          </w:p>
        </w:tc>
        <w:tc>
          <w:tcPr>
            <w:tcW w:w="1170" w:type="dxa"/>
            <w:noWrap/>
            <w:vAlign w:val="bottom"/>
            <w:hideMark/>
          </w:tcPr>
          <w:p w:rsidR="00521E33" w:rsidRPr="00D32300" w:rsidRDefault="00521E33" w:rsidP="009D02B5">
            <w:pPr>
              <w:pStyle w:val="TableText"/>
              <w:jc w:val="center"/>
            </w:pPr>
            <w:r w:rsidRPr="00D32300">
              <w:t>6.81</w:t>
            </w:r>
          </w:p>
        </w:tc>
        <w:tc>
          <w:tcPr>
            <w:tcW w:w="1440" w:type="dxa"/>
            <w:noWrap/>
            <w:vAlign w:val="bottom"/>
            <w:hideMark/>
          </w:tcPr>
          <w:p w:rsidR="00521E33" w:rsidRPr="00D32300" w:rsidRDefault="00521E33" w:rsidP="009D02B5">
            <w:pPr>
              <w:pStyle w:val="TableText"/>
              <w:jc w:val="center"/>
            </w:pPr>
            <w:r w:rsidRPr="00D32300">
              <w:t>28.7%</w:t>
            </w:r>
          </w:p>
        </w:tc>
      </w:tr>
      <w:tr w:rsidR="00D32300" w:rsidRPr="00D32300" w:rsidTr="009D02B5">
        <w:tc>
          <w:tcPr>
            <w:tcW w:w="990" w:type="dxa"/>
            <w:vAlign w:val="bottom"/>
            <w:hideMark/>
          </w:tcPr>
          <w:p w:rsidR="00521E33" w:rsidRPr="00D32300" w:rsidRDefault="00521E33" w:rsidP="00D32300">
            <w:pPr>
              <w:pStyle w:val="TableText"/>
            </w:pPr>
            <w:r w:rsidRPr="00D32300">
              <w:t>Pact</w:t>
            </w:r>
          </w:p>
        </w:tc>
        <w:tc>
          <w:tcPr>
            <w:tcW w:w="1124" w:type="dxa"/>
            <w:vAlign w:val="bottom"/>
            <w:hideMark/>
          </w:tcPr>
          <w:p w:rsidR="00521E33" w:rsidRPr="00D32300" w:rsidRDefault="00521E33" w:rsidP="00D32300">
            <w:pPr>
              <w:pStyle w:val="TableText"/>
            </w:pPr>
            <w:proofErr w:type="spellStart"/>
            <w:r w:rsidRPr="00D32300">
              <w:t>Mwanza</w:t>
            </w:r>
            <w:proofErr w:type="spellEnd"/>
          </w:p>
        </w:tc>
        <w:tc>
          <w:tcPr>
            <w:tcW w:w="1080" w:type="dxa"/>
            <w:vAlign w:val="bottom"/>
            <w:hideMark/>
          </w:tcPr>
          <w:p w:rsidR="00521E33" w:rsidRPr="00D32300" w:rsidRDefault="00521E33" w:rsidP="009D02B5">
            <w:pPr>
              <w:pStyle w:val="TableText"/>
              <w:jc w:val="center"/>
            </w:pPr>
            <w:r w:rsidRPr="00D32300">
              <w:t>7</w:t>
            </w:r>
          </w:p>
        </w:tc>
        <w:tc>
          <w:tcPr>
            <w:tcW w:w="1170" w:type="dxa"/>
            <w:vAlign w:val="bottom"/>
            <w:hideMark/>
          </w:tcPr>
          <w:p w:rsidR="00521E33" w:rsidRPr="00D32300" w:rsidRDefault="00521E33" w:rsidP="009D02B5">
            <w:pPr>
              <w:pStyle w:val="TableText"/>
              <w:jc w:val="center"/>
            </w:pPr>
            <w:r w:rsidRPr="00D32300">
              <w:t>586</w:t>
            </w:r>
          </w:p>
        </w:tc>
        <w:tc>
          <w:tcPr>
            <w:tcW w:w="1170" w:type="dxa"/>
            <w:vAlign w:val="bottom"/>
            <w:hideMark/>
          </w:tcPr>
          <w:p w:rsidR="00521E33" w:rsidRPr="00D32300" w:rsidRDefault="00521E33" w:rsidP="009D02B5">
            <w:pPr>
              <w:pStyle w:val="TableText"/>
              <w:jc w:val="center"/>
            </w:pPr>
            <w:r w:rsidRPr="00D32300">
              <w:t>3</w:t>
            </w:r>
          </w:p>
        </w:tc>
        <w:tc>
          <w:tcPr>
            <w:tcW w:w="1620" w:type="dxa"/>
            <w:vAlign w:val="bottom"/>
            <w:hideMark/>
          </w:tcPr>
          <w:p w:rsidR="00521E33" w:rsidRPr="00D32300" w:rsidRDefault="00521E33" w:rsidP="009D02B5">
            <w:pPr>
              <w:pStyle w:val="TableText"/>
              <w:jc w:val="center"/>
            </w:pPr>
            <w:r w:rsidRPr="00D32300">
              <w:t>Cash and in-kind</w:t>
            </w:r>
          </w:p>
        </w:tc>
        <w:tc>
          <w:tcPr>
            <w:tcW w:w="1391" w:type="dxa"/>
            <w:vAlign w:val="bottom"/>
            <w:hideMark/>
          </w:tcPr>
          <w:p w:rsidR="00521E33" w:rsidRPr="00D32300" w:rsidRDefault="00521E33" w:rsidP="009D02B5">
            <w:pPr>
              <w:pStyle w:val="TableText"/>
              <w:jc w:val="center"/>
            </w:pPr>
            <w:r w:rsidRPr="00D32300">
              <w:t>144,600</w:t>
            </w:r>
          </w:p>
        </w:tc>
        <w:tc>
          <w:tcPr>
            <w:tcW w:w="1440" w:type="dxa"/>
            <w:vAlign w:val="bottom"/>
            <w:hideMark/>
          </w:tcPr>
          <w:p w:rsidR="00521E33" w:rsidRPr="00D32300" w:rsidRDefault="00521E33" w:rsidP="009D02B5">
            <w:pPr>
              <w:pStyle w:val="TableText"/>
              <w:jc w:val="center"/>
            </w:pPr>
            <w:r w:rsidRPr="00D32300">
              <w:t>90</w:t>
            </w:r>
          </w:p>
        </w:tc>
        <w:tc>
          <w:tcPr>
            <w:tcW w:w="1260" w:type="dxa"/>
            <w:noWrap/>
            <w:vAlign w:val="bottom"/>
            <w:hideMark/>
          </w:tcPr>
          <w:p w:rsidR="00521E33" w:rsidRPr="00D32300" w:rsidRDefault="00521E33" w:rsidP="009D02B5">
            <w:pPr>
              <w:pStyle w:val="TableText"/>
              <w:jc w:val="center"/>
            </w:pPr>
            <w:r w:rsidRPr="00D32300">
              <w:t>48,200</w:t>
            </w:r>
          </w:p>
        </w:tc>
        <w:tc>
          <w:tcPr>
            <w:tcW w:w="1170" w:type="dxa"/>
            <w:noWrap/>
            <w:vAlign w:val="bottom"/>
            <w:hideMark/>
          </w:tcPr>
          <w:p w:rsidR="00521E33" w:rsidRPr="00D32300" w:rsidRDefault="00521E33" w:rsidP="009D02B5">
            <w:pPr>
              <w:pStyle w:val="TableText"/>
              <w:jc w:val="center"/>
            </w:pPr>
            <w:r w:rsidRPr="00D32300">
              <w:t>29.85</w:t>
            </w:r>
          </w:p>
        </w:tc>
        <w:tc>
          <w:tcPr>
            <w:tcW w:w="1440" w:type="dxa"/>
            <w:noWrap/>
            <w:vAlign w:val="bottom"/>
            <w:hideMark/>
          </w:tcPr>
          <w:p w:rsidR="00521E33" w:rsidRPr="00D32300" w:rsidRDefault="00521E33" w:rsidP="009D02B5">
            <w:pPr>
              <w:pStyle w:val="TableText"/>
              <w:jc w:val="center"/>
            </w:pPr>
            <w:r w:rsidRPr="00D32300">
              <w:t>1.2%</w:t>
            </w:r>
          </w:p>
        </w:tc>
      </w:tr>
      <w:tr w:rsidR="00D32300" w:rsidRPr="00D32300" w:rsidTr="009D02B5">
        <w:tc>
          <w:tcPr>
            <w:tcW w:w="990" w:type="dxa"/>
            <w:vAlign w:val="bottom"/>
            <w:hideMark/>
          </w:tcPr>
          <w:p w:rsidR="00521E33" w:rsidRPr="00D32300" w:rsidRDefault="00521E33" w:rsidP="00D32300">
            <w:pPr>
              <w:pStyle w:val="TableText"/>
            </w:pPr>
            <w:r w:rsidRPr="00D32300">
              <w:t>FHI 360</w:t>
            </w:r>
          </w:p>
        </w:tc>
        <w:tc>
          <w:tcPr>
            <w:tcW w:w="1124" w:type="dxa"/>
            <w:vAlign w:val="bottom"/>
            <w:hideMark/>
          </w:tcPr>
          <w:p w:rsidR="00521E33" w:rsidRPr="00D32300" w:rsidRDefault="00521E33" w:rsidP="00D32300">
            <w:pPr>
              <w:pStyle w:val="TableText"/>
            </w:pPr>
            <w:r w:rsidRPr="00D32300">
              <w:t xml:space="preserve">Dar </w:t>
            </w:r>
            <w:proofErr w:type="spellStart"/>
            <w:r w:rsidRPr="00D32300">
              <w:t>es</w:t>
            </w:r>
            <w:proofErr w:type="spellEnd"/>
            <w:r w:rsidRPr="00D32300">
              <w:t xml:space="preserve"> Salaam</w:t>
            </w:r>
          </w:p>
        </w:tc>
        <w:tc>
          <w:tcPr>
            <w:tcW w:w="1080" w:type="dxa"/>
            <w:vAlign w:val="bottom"/>
            <w:hideMark/>
          </w:tcPr>
          <w:p w:rsidR="00521E33" w:rsidRPr="00D32300" w:rsidRDefault="00521E33" w:rsidP="009D02B5">
            <w:pPr>
              <w:pStyle w:val="TableText"/>
              <w:jc w:val="center"/>
            </w:pPr>
            <w:r w:rsidRPr="00D32300">
              <w:t>76</w:t>
            </w:r>
          </w:p>
        </w:tc>
        <w:tc>
          <w:tcPr>
            <w:tcW w:w="1170" w:type="dxa"/>
            <w:vAlign w:val="bottom"/>
            <w:hideMark/>
          </w:tcPr>
          <w:p w:rsidR="00521E33" w:rsidRPr="00D32300" w:rsidRDefault="00521E33" w:rsidP="009D02B5">
            <w:pPr>
              <w:pStyle w:val="TableText"/>
              <w:jc w:val="center"/>
            </w:pPr>
            <w:r w:rsidRPr="00D32300">
              <w:t>76</w:t>
            </w:r>
          </w:p>
        </w:tc>
        <w:tc>
          <w:tcPr>
            <w:tcW w:w="1170" w:type="dxa"/>
            <w:vAlign w:val="bottom"/>
            <w:hideMark/>
          </w:tcPr>
          <w:p w:rsidR="00521E33" w:rsidRPr="00D32300" w:rsidRDefault="00521E33" w:rsidP="009D02B5">
            <w:pPr>
              <w:pStyle w:val="TableText"/>
              <w:jc w:val="center"/>
            </w:pPr>
            <w:r w:rsidRPr="00D32300">
              <w:t>2,960</w:t>
            </w:r>
          </w:p>
        </w:tc>
        <w:tc>
          <w:tcPr>
            <w:tcW w:w="1620" w:type="dxa"/>
            <w:vAlign w:val="bottom"/>
            <w:hideMark/>
          </w:tcPr>
          <w:p w:rsidR="00521E33" w:rsidRPr="00D32300" w:rsidRDefault="00521E33" w:rsidP="009D02B5">
            <w:pPr>
              <w:pStyle w:val="TableText"/>
              <w:jc w:val="center"/>
            </w:pPr>
            <w:r w:rsidRPr="00D32300">
              <w:t>Cash and in-kind</w:t>
            </w:r>
          </w:p>
        </w:tc>
        <w:tc>
          <w:tcPr>
            <w:tcW w:w="1391" w:type="dxa"/>
            <w:noWrap/>
            <w:vAlign w:val="bottom"/>
            <w:hideMark/>
          </w:tcPr>
          <w:p w:rsidR="00521E33" w:rsidRPr="00D32300" w:rsidRDefault="00521E33" w:rsidP="009D02B5">
            <w:pPr>
              <w:pStyle w:val="TableText"/>
              <w:jc w:val="center"/>
            </w:pPr>
            <w:r w:rsidRPr="00D32300">
              <w:t>13,339,050</w:t>
            </w:r>
          </w:p>
        </w:tc>
        <w:tc>
          <w:tcPr>
            <w:tcW w:w="1440" w:type="dxa"/>
            <w:vAlign w:val="bottom"/>
            <w:hideMark/>
          </w:tcPr>
          <w:p w:rsidR="00521E33" w:rsidRPr="00D32300" w:rsidRDefault="00521E33" w:rsidP="009D02B5">
            <w:pPr>
              <w:pStyle w:val="TableText"/>
              <w:jc w:val="center"/>
            </w:pPr>
            <w:r w:rsidRPr="00D32300">
              <w:t>8,259</w:t>
            </w:r>
          </w:p>
        </w:tc>
        <w:tc>
          <w:tcPr>
            <w:tcW w:w="1260" w:type="dxa"/>
            <w:noWrap/>
            <w:vAlign w:val="bottom"/>
            <w:hideMark/>
          </w:tcPr>
          <w:p w:rsidR="00521E33" w:rsidRPr="00D32300" w:rsidRDefault="00521E33" w:rsidP="009D02B5">
            <w:pPr>
              <w:pStyle w:val="TableText"/>
              <w:jc w:val="center"/>
            </w:pPr>
            <w:r w:rsidRPr="00D32300">
              <w:t>4,506</w:t>
            </w:r>
          </w:p>
        </w:tc>
        <w:tc>
          <w:tcPr>
            <w:tcW w:w="1170" w:type="dxa"/>
            <w:noWrap/>
            <w:vAlign w:val="bottom"/>
            <w:hideMark/>
          </w:tcPr>
          <w:p w:rsidR="00521E33" w:rsidRPr="00D32300" w:rsidRDefault="00521E33" w:rsidP="009D02B5">
            <w:pPr>
              <w:pStyle w:val="TableText"/>
              <w:jc w:val="center"/>
            </w:pPr>
            <w:r w:rsidRPr="00D32300">
              <w:t>2.79</w:t>
            </w:r>
          </w:p>
        </w:tc>
        <w:tc>
          <w:tcPr>
            <w:tcW w:w="1440" w:type="dxa"/>
            <w:noWrap/>
            <w:vAlign w:val="bottom"/>
            <w:hideMark/>
          </w:tcPr>
          <w:p w:rsidR="00521E33" w:rsidRPr="00D32300" w:rsidRDefault="00521E33" w:rsidP="009D02B5">
            <w:pPr>
              <w:pStyle w:val="TableText"/>
              <w:jc w:val="center"/>
            </w:pPr>
            <w:r w:rsidRPr="00D32300">
              <w:t>100.0%</w:t>
            </w:r>
          </w:p>
        </w:tc>
      </w:tr>
      <w:tr w:rsidR="00D32300" w:rsidRPr="00D32300" w:rsidTr="009D02B5">
        <w:tc>
          <w:tcPr>
            <w:tcW w:w="990" w:type="dxa"/>
            <w:vAlign w:val="bottom"/>
            <w:hideMark/>
          </w:tcPr>
          <w:p w:rsidR="00521E33" w:rsidRPr="00D32300" w:rsidRDefault="00521E33" w:rsidP="00D32300">
            <w:pPr>
              <w:pStyle w:val="TableText"/>
            </w:pPr>
            <w:r w:rsidRPr="00D32300">
              <w:t>FHI 360</w:t>
            </w:r>
          </w:p>
        </w:tc>
        <w:tc>
          <w:tcPr>
            <w:tcW w:w="1124" w:type="dxa"/>
            <w:vAlign w:val="bottom"/>
            <w:hideMark/>
          </w:tcPr>
          <w:p w:rsidR="00521E33" w:rsidRPr="00D32300" w:rsidRDefault="00521E33" w:rsidP="00D32300">
            <w:pPr>
              <w:pStyle w:val="TableText"/>
            </w:pPr>
            <w:proofErr w:type="spellStart"/>
            <w:r w:rsidRPr="00D32300">
              <w:t>Pwani</w:t>
            </w:r>
            <w:proofErr w:type="spellEnd"/>
          </w:p>
        </w:tc>
        <w:tc>
          <w:tcPr>
            <w:tcW w:w="1080" w:type="dxa"/>
            <w:vAlign w:val="bottom"/>
            <w:hideMark/>
          </w:tcPr>
          <w:p w:rsidR="00521E33" w:rsidRPr="00D32300" w:rsidRDefault="00521E33" w:rsidP="009D02B5">
            <w:pPr>
              <w:pStyle w:val="TableText"/>
              <w:jc w:val="center"/>
            </w:pPr>
            <w:r w:rsidRPr="00D32300">
              <w:t>81</w:t>
            </w:r>
          </w:p>
        </w:tc>
        <w:tc>
          <w:tcPr>
            <w:tcW w:w="1170" w:type="dxa"/>
            <w:noWrap/>
            <w:vAlign w:val="bottom"/>
            <w:hideMark/>
          </w:tcPr>
          <w:p w:rsidR="00521E33" w:rsidRPr="00D32300" w:rsidRDefault="00521E33" w:rsidP="009D02B5">
            <w:pPr>
              <w:pStyle w:val="TableText"/>
              <w:jc w:val="center"/>
            </w:pPr>
            <w:r w:rsidRPr="00D32300">
              <w:t>85</w:t>
            </w:r>
          </w:p>
        </w:tc>
        <w:tc>
          <w:tcPr>
            <w:tcW w:w="1170" w:type="dxa"/>
            <w:vAlign w:val="bottom"/>
            <w:hideMark/>
          </w:tcPr>
          <w:p w:rsidR="00521E33" w:rsidRPr="00D32300" w:rsidRDefault="00521E33" w:rsidP="009D02B5">
            <w:pPr>
              <w:pStyle w:val="TableText"/>
              <w:jc w:val="center"/>
            </w:pPr>
            <w:r w:rsidRPr="00D32300">
              <w:t>1,219</w:t>
            </w:r>
          </w:p>
        </w:tc>
        <w:tc>
          <w:tcPr>
            <w:tcW w:w="1620" w:type="dxa"/>
            <w:vAlign w:val="bottom"/>
            <w:hideMark/>
          </w:tcPr>
          <w:p w:rsidR="00521E33" w:rsidRPr="00D32300" w:rsidRDefault="00521E33" w:rsidP="009D02B5">
            <w:pPr>
              <w:pStyle w:val="TableText"/>
              <w:jc w:val="center"/>
            </w:pPr>
            <w:r w:rsidRPr="00D32300">
              <w:t>Cash and in-kind</w:t>
            </w:r>
          </w:p>
        </w:tc>
        <w:tc>
          <w:tcPr>
            <w:tcW w:w="1391" w:type="dxa"/>
            <w:noWrap/>
            <w:vAlign w:val="bottom"/>
            <w:hideMark/>
          </w:tcPr>
          <w:p w:rsidR="00521E33" w:rsidRPr="00D32300" w:rsidRDefault="00521E33" w:rsidP="009D02B5">
            <w:pPr>
              <w:pStyle w:val="TableText"/>
              <w:jc w:val="center"/>
            </w:pPr>
            <w:r w:rsidRPr="00D32300">
              <w:t>20,896,700</w:t>
            </w:r>
          </w:p>
        </w:tc>
        <w:tc>
          <w:tcPr>
            <w:tcW w:w="1440" w:type="dxa"/>
            <w:vAlign w:val="bottom"/>
            <w:hideMark/>
          </w:tcPr>
          <w:p w:rsidR="00521E33" w:rsidRPr="00D32300" w:rsidRDefault="00521E33" w:rsidP="009D02B5">
            <w:pPr>
              <w:pStyle w:val="TableText"/>
              <w:jc w:val="center"/>
            </w:pPr>
            <w:r w:rsidRPr="00D32300">
              <w:t>12,939</w:t>
            </w:r>
          </w:p>
        </w:tc>
        <w:tc>
          <w:tcPr>
            <w:tcW w:w="1260" w:type="dxa"/>
            <w:noWrap/>
            <w:vAlign w:val="bottom"/>
            <w:hideMark/>
          </w:tcPr>
          <w:p w:rsidR="00521E33" w:rsidRPr="00D32300" w:rsidRDefault="00521E33" w:rsidP="009D02B5">
            <w:pPr>
              <w:pStyle w:val="TableText"/>
              <w:jc w:val="center"/>
            </w:pPr>
            <w:r w:rsidRPr="00D32300">
              <w:t>17,142</w:t>
            </w:r>
          </w:p>
        </w:tc>
        <w:tc>
          <w:tcPr>
            <w:tcW w:w="1170" w:type="dxa"/>
            <w:noWrap/>
            <w:vAlign w:val="bottom"/>
            <w:hideMark/>
          </w:tcPr>
          <w:p w:rsidR="00521E33" w:rsidRPr="00D32300" w:rsidRDefault="00521E33" w:rsidP="009D02B5">
            <w:pPr>
              <w:pStyle w:val="TableText"/>
              <w:jc w:val="center"/>
            </w:pPr>
            <w:r w:rsidRPr="00D32300">
              <w:t>10.61</w:t>
            </w:r>
          </w:p>
        </w:tc>
        <w:tc>
          <w:tcPr>
            <w:tcW w:w="1440" w:type="dxa"/>
            <w:noWrap/>
            <w:vAlign w:val="bottom"/>
            <w:hideMark/>
          </w:tcPr>
          <w:p w:rsidR="00521E33" w:rsidRPr="00D32300" w:rsidRDefault="00521E33" w:rsidP="009D02B5">
            <w:pPr>
              <w:pStyle w:val="TableText"/>
              <w:jc w:val="center"/>
            </w:pPr>
            <w:r w:rsidRPr="00D32300">
              <w:t>95.3%</w:t>
            </w:r>
          </w:p>
        </w:tc>
      </w:tr>
      <w:tr w:rsidR="00D32300" w:rsidRPr="00D32300" w:rsidTr="009D02B5">
        <w:tc>
          <w:tcPr>
            <w:tcW w:w="990" w:type="dxa"/>
            <w:vAlign w:val="bottom"/>
            <w:hideMark/>
          </w:tcPr>
          <w:p w:rsidR="00521E33" w:rsidRPr="00D32300" w:rsidRDefault="00521E33" w:rsidP="00D32300">
            <w:pPr>
              <w:pStyle w:val="TableText"/>
            </w:pPr>
            <w:r w:rsidRPr="00D32300">
              <w:t>FHI 360</w:t>
            </w:r>
          </w:p>
        </w:tc>
        <w:tc>
          <w:tcPr>
            <w:tcW w:w="1124" w:type="dxa"/>
            <w:vAlign w:val="bottom"/>
            <w:hideMark/>
          </w:tcPr>
          <w:p w:rsidR="00521E33" w:rsidRPr="00D32300" w:rsidRDefault="00521E33" w:rsidP="00D32300">
            <w:pPr>
              <w:pStyle w:val="TableText"/>
            </w:pPr>
            <w:proofErr w:type="spellStart"/>
            <w:r w:rsidRPr="00D32300">
              <w:t>Morogoro</w:t>
            </w:r>
            <w:proofErr w:type="spellEnd"/>
          </w:p>
        </w:tc>
        <w:tc>
          <w:tcPr>
            <w:tcW w:w="1080" w:type="dxa"/>
            <w:vAlign w:val="bottom"/>
            <w:hideMark/>
          </w:tcPr>
          <w:p w:rsidR="00521E33" w:rsidRPr="00D32300" w:rsidRDefault="00521E33" w:rsidP="009D02B5">
            <w:pPr>
              <w:pStyle w:val="TableText"/>
              <w:jc w:val="center"/>
            </w:pPr>
            <w:r w:rsidRPr="00D32300">
              <w:t>96</w:t>
            </w:r>
          </w:p>
        </w:tc>
        <w:tc>
          <w:tcPr>
            <w:tcW w:w="1170" w:type="dxa"/>
            <w:noWrap/>
            <w:vAlign w:val="bottom"/>
            <w:hideMark/>
          </w:tcPr>
          <w:p w:rsidR="00521E33" w:rsidRPr="00D32300" w:rsidRDefault="00521E33" w:rsidP="009D02B5">
            <w:pPr>
              <w:pStyle w:val="TableText"/>
              <w:jc w:val="center"/>
            </w:pPr>
            <w:r w:rsidRPr="00D32300">
              <w:t>96</w:t>
            </w:r>
          </w:p>
        </w:tc>
        <w:tc>
          <w:tcPr>
            <w:tcW w:w="1170" w:type="dxa"/>
            <w:vAlign w:val="bottom"/>
            <w:hideMark/>
          </w:tcPr>
          <w:p w:rsidR="00521E33" w:rsidRPr="00D32300" w:rsidRDefault="00521E33" w:rsidP="009D02B5">
            <w:pPr>
              <w:pStyle w:val="TableText"/>
              <w:jc w:val="center"/>
            </w:pPr>
            <w:r w:rsidRPr="00D32300">
              <w:t>641</w:t>
            </w:r>
          </w:p>
        </w:tc>
        <w:tc>
          <w:tcPr>
            <w:tcW w:w="1620" w:type="dxa"/>
            <w:vAlign w:val="bottom"/>
            <w:hideMark/>
          </w:tcPr>
          <w:p w:rsidR="00521E33" w:rsidRPr="00D32300" w:rsidRDefault="00521E33" w:rsidP="009D02B5">
            <w:pPr>
              <w:pStyle w:val="TableText"/>
              <w:jc w:val="center"/>
            </w:pPr>
            <w:r w:rsidRPr="00D32300">
              <w:t>Cash only</w:t>
            </w:r>
          </w:p>
        </w:tc>
        <w:tc>
          <w:tcPr>
            <w:tcW w:w="1391" w:type="dxa"/>
            <w:noWrap/>
            <w:vAlign w:val="bottom"/>
            <w:hideMark/>
          </w:tcPr>
          <w:p w:rsidR="00521E33" w:rsidRPr="00D32300" w:rsidRDefault="00521E33" w:rsidP="009D02B5">
            <w:pPr>
              <w:pStyle w:val="TableText"/>
              <w:jc w:val="center"/>
            </w:pPr>
            <w:r w:rsidRPr="00D32300">
              <w:t>12,861,000</w:t>
            </w:r>
          </w:p>
        </w:tc>
        <w:tc>
          <w:tcPr>
            <w:tcW w:w="1440" w:type="dxa"/>
            <w:vAlign w:val="bottom"/>
            <w:hideMark/>
          </w:tcPr>
          <w:p w:rsidR="00521E33" w:rsidRPr="00D32300" w:rsidRDefault="00521E33" w:rsidP="009D02B5">
            <w:pPr>
              <w:pStyle w:val="TableText"/>
              <w:jc w:val="center"/>
            </w:pPr>
            <w:r w:rsidRPr="00D32300">
              <w:t>7,963</w:t>
            </w:r>
          </w:p>
        </w:tc>
        <w:tc>
          <w:tcPr>
            <w:tcW w:w="1260" w:type="dxa"/>
            <w:noWrap/>
            <w:vAlign w:val="bottom"/>
            <w:hideMark/>
          </w:tcPr>
          <w:p w:rsidR="00521E33" w:rsidRPr="00D32300" w:rsidRDefault="00521E33" w:rsidP="009D02B5">
            <w:pPr>
              <w:pStyle w:val="TableText"/>
              <w:jc w:val="center"/>
            </w:pPr>
            <w:r w:rsidRPr="00D32300">
              <w:t>20,064</w:t>
            </w:r>
          </w:p>
        </w:tc>
        <w:tc>
          <w:tcPr>
            <w:tcW w:w="1170" w:type="dxa"/>
            <w:noWrap/>
            <w:vAlign w:val="bottom"/>
            <w:hideMark/>
          </w:tcPr>
          <w:p w:rsidR="00521E33" w:rsidRPr="00D32300" w:rsidRDefault="00521E33" w:rsidP="009D02B5">
            <w:pPr>
              <w:pStyle w:val="TableText"/>
              <w:jc w:val="center"/>
            </w:pPr>
            <w:r w:rsidRPr="00D32300">
              <w:t>12.42</w:t>
            </w:r>
          </w:p>
        </w:tc>
        <w:tc>
          <w:tcPr>
            <w:tcW w:w="1440" w:type="dxa"/>
            <w:noWrap/>
            <w:vAlign w:val="bottom"/>
            <w:hideMark/>
          </w:tcPr>
          <w:p w:rsidR="00521E33" w:rsidRPr="00D32300" w:rsidRDefault="00521E33" w:rsidP="009D02B5">
            <w:pPr>
              <w:pStyle w:val="TableText"/>
              <w:jc w:val="center"/>
            </w:pPr>
            <w:r w:rsidRPr="00D32300">
              <w:t>100.0%</w:t>
            </w:r>
          </w:p>
        </w:tc>
      </w:tr>
      <w:tr w:rsidR="00D32300" w:rsidRPr="00D32300" w:rsidTr="009D02B5">
        <w:tc>
          <w:tcPr>
            <w:tcW w:w="990" w:type="dxa"/>
            <w:vAlign w:val="bottom"/>
            <w:hideMark/>
          </w:tcPr>
          <w:p w:rsidR="00521E33" w:rsidRPr="00D32300" w:rsidRDefault="00521E33" w:rsidP="00D32300">
            <w:pPr>
              <w:pStyle w:val="TableText"/>
            </w:pPr>
            <w:r w:rsidRPr="00D32300">
              <w:t>FHI 360</w:t>
            </w:r>
          </w:p>
        </w:tc>
        <w:tc>
          <w:tcPr>
            <w:tcW w:w="1124" w:type="dxa"/>
            <w:vAlign w:val="bottom"/>
            <w:hideMark/>
          </w:tcPr>
          <w:p w:rsidR="00521E33" w:rsidRPr="00D32300" w:rsidRDefault="00521E33" w:rsidP="00D32300">
            <w:pPr>
              <w:pStyle w:val="TableText"/>
            </w:pPr>
            <w:r w:rsidRPr="00D32300">
              <w:t>Zanzibar</w:t>
            </w:r>
          </w:p>
        </w:tc>
        <w:tc>
          <w:tcPr>
            <w:tcW w:w="1080" w:type="dxa"/>
            <w:vAlign w:val="bottom"/>
            <w:hideMark/>
          </w:tcPr>
          <w:p w:rsidR="00521E33" w:rsidRPr="00D32300" w:rsidRDefault="00521E33" w:rsidP="009D02B5">
            <w:pPr>
              <w:pStyle w:val="TableText"/>
              <w:jc w:val="center"/>
            </w:pPr>
            <w:r w:rsidRPr="00D32300">
              <w:t>37</w:t>
            </w:r>
          </w:p>
        </w:tc>
        <w:tc>
          <w:tcPr>
            <w:tcW w:w="1170" w:type="dxa"/>
            <w:vAlign w:val="bottom"/>
            <w:hideMark/>
          </w:tcPr>
          <w:p w:rsidR="00521E33" w:rsidRPr="00D32300" w:rsidRDefault="00521E33" w:rsidP="009D02B5">
            <w:pPr>
              <w:pStyle w:val="TableText"/>
              <w:jc w:val="center"/>
            </w:pPr>
            <w:r w:rsidRPr="00D32300">
              <w:t>37</w:t>
            </w:r>
          </w:p>
        </w:tc>
        <w:tc>
          <w:tcPr>
            <w:tcW w:w="1170" w:type="dxa"/>
            <w:vAlign w:val="bottom"/>
            <w:hideMark/>
          </w:tcPr>
          <w:p w:rsidR="00521E33" w:rsidRPr="00D32300" w:rsidRDefault="00521E33" w:rsidP="009D02B5">
            <w:pPr>
              <w:pStyle w:val="TableText"/>
              <w:jc w:val="center"/>
            </w:pPr>
            <w:r w:rsidRPr="00D32300">
              <w:t>325</w:t>
            </w:r>
          </w:p>
        </w:tc>
        <w:tc>
          <w:tcPr>
            <w:tcW w:w="1620" w:type="dxa"/>
            <w:vAlign w:val="bottom"/>
            <w:hideMark/>
          </w:tcPr>
          <w:p w:rsidR="00521E33" w:rsidRPr="00D32300" w:rsidRDefault="00521E33" w:rsidP="009D02B5">
            <w:pPr>
              <w:pStyle w:val="TableText"/>
              <w:jc w:val="center"/>
            </w:pPr>
            <w:r w:rsidRPr="00D32300">
              <w:t>Cash only</w:t>
            </w:r>
          </w:p>
        </w:tc>
        <w:tc>
          <w:tcPr>
            <w:tcW w:w="1391" w:type="dxa"/>
            <w:noWrap/>
            <w:vAlign w:val="bottom"/>
            <w:hideMark/>
          </w:tcPr>
          <w:p w:rsidR="00521E33" w:rsidRPr="00D32300" w:rsidRDefault="00521E33" w:rsidP="009D02B5">
            <w:pPr>
              <w:pStyle w:val="TableText"/>
              <w:jc w:val="center"/>
            </w:pPr>
            <w:r w:rsidRPr="00D32300">
              <w:t>1,261,700</w:t>
            </w:r>
          </w:p>
        </w:tc>
        <w:tc>
          <w:tcPr>
            <w:tcW w:w="1440" w:type="dxa"/>
            <w:vAlign w:val="bottom"/>
            <w:hideMark/>
          </w:tcPr>
          <w:p w:rsidR="00521E33" w:rsidRPr="00D32300" w:rsidRDefault="00521E33" w:rsidP="009D02B5">
            <w:pPr>
              <w:pStyle w:val="TableText"/>
              <w:jc w:val="center"/>
            </w:pPr>
            <w:r w:rsidRPr="00D32300">
              <w:t>781</w:t>
            </w:r>
          </w:p>
        </w:tc>
        <w:tc>
          <w:tcPr>
            <w:tcW w:w="1260" w:type="dxa"/>
            <w:noWrap/>
            <w:vAlign w:val="bottom"/>
            <w:hideMark/>
          </w:tcPr>
          <w:p w:rsidR="00521E33" w:rsidRPr="00D32300" w:rsidRDefault="00521E33" w:rsidP="009D02B5">
            <w:pPr>
              <w:pStyle w:val="TableText"/>
              <w:jc w:val="center"/>
            </w:pPr>
            <w:r w:rsidRPr="00D32300">
              <w:t>3,882</w:t>
            </w:r>
          </w:p>
        </w:tc>
        <w:tc>
          <w:tcPr>
            <w:tcW w:w="1170" w:type="dxa"/>
            <w:noWrap/>
            <w:vAlign w:val="bottom"/>
            <w:hideMark/>
          </w:tcPr>
          <w:p w:rsidR="00521E33" w:rsidRPr="00D32300" w:rsidRDefault="00521E33" w:rsidP="009D02B5">
            <w:pPr>
              <w:pStyle w:val="TableText"/>
              <w:jc w:val="center"/>
            </w:pPr>
            <w:r w:rsidRPr="00D32300">
              <w:t>2.40</w:t>
            </w:r>
          </w:p>
        </w:tc>
        <w:tc>
          <w:tcPr>
            <w:tcW w:w="1440" w:type="dxa"/>
            <w:noWrap/>
            <w:vAlign w:val="bottom"/>
            <w:hideMark/>
          </w:tcPr>
          <w:p w:rsidR="00521E33" w:rsidRPr="00D32300" w:rsidRDefault="00521E33" w:rsidP="009D02B5">
            <w:pPr>
              <w:pStyle w:val="TableText"/>
              <w:jc w:val="center"/>
            </w:pPr>
            <w:r w:rsidRPr="00D32300">
              <w:t>100.0%</w:t>
            </w:r>
          </w:p>
        </w:tc>
      </w:tr>
      <w:tr w:rsidR="00D32300" w:rsidRPr="00D32300" w:rsidTr="009D02B5">
        <w:tc>
          <w:tcPr>
            <w:tcW w:w="990" w:type="dxa"/>
            <w:vAlign w:val="bottom"/>
            <w:hideMark/>
          </w:tcPr>
          <w:p w:rsidR="00521E33" w:rsidRPr="00D32300" w:rsidRDefault="00521E33" w:rsidP="00D32300">
            <w:pPr>
              <w:pStyle w:val="TableText"/>
            </w:pPr>
            <w:proofErr w:type="spellStart"/>
            <w:r w:rsidRPr="00D32300">
              <w:t>Africare</w:t>
            </w:r>
            <w:proofErr w:type="spellEnd"/>
          </w:p>
        </w:tc>
        <w:tc>
          <w:tcPr>
            <w:tcW w:w="1124" w:type="dxa"/>
            <w:vAlign w:val="bottom"/>
            <w:hideMark/>
          </w:tcPr>
          <w:p w:rsidR="00521E33" w:rsidRPr="00D32300" w:rsidRDefault="00521E33" w:rsidP="00D32300">
            <w:pPr>
              <w:pStyle w:val="TableText"/>
            </w:pPr>
            <w:r w:rsidRPr="00D32300">
              <w:t>Iringa</w:t>
            </w:r>
          </w:p>
        </w:tc>
        <w:tc>
          <w:tcPr>
            <w:tcW w:w="1080" w:type="dxa"/>
            <w:noWrap/>
            <w:vAlign w:val="bottom"/>
            <w:hideMark/>
          </w:tcPr>
          <w:p w:rsidR="00521E33" w:rsidRPr="00D32300" w:rsidRDefault="00521E33" w:rsidP="009D02B5">
            <w:pPr>
              <w:pStyle w:val="TableText"/>
              <w:jc w:val="center"/>
            </w:pPr>
            <w:r w:rsidRPr="00D32300">
              <w:t>406</w:t>
            </w:r>
          </w:p>
        </w:tc>
        <w:tc>
          <w:tcPr>
            <w:tcW w:w="1170" w:type="dxa"/>
            <w:noWrap/>
            <w:vAlign w:val="bottom"/>
            <w:hideMark/>
          </w:tcPr>
          <w:p w:rsidR="00521E33" w:rsidRPr="00D32300" w:rsidRDefault="00521E33" w:rsidP="009D02B5">
            <w:pPr>
              <w:pStyle w:val="TableText"/>
              <w:jc w:val="center"/>
            </w:pPr>
            <w:r w:rsidRPr="00D32300">
              <w:t>406</w:t>
            </w:r>
          </w:p>
        </w:tc>
        <w:tc>
          <w:tcPr>
            <w:tcW w:w="1170" w:type="dxa"/>
            <w:noWrap/>
            <w:vAlign w:val="bottom"/>
            <w:hideMark/>
          </w:tcPr>
          <w:p w:rsidR="00521E33" w:rsidRPr="00D32300" w:rsidRDefault="00521E33" w:rsidP="009D02B5">
            <w:pPr>
              <w:pStyle w:val="TableText"/>
              <w:jc w:val="center"/>
            </w:pPr>
            <w:r w:rsidRPr="00D32300">
              <w:t>1,1232</w:t>
            </w:r>
          </w:p>
        </w:tc>
        <w:tc>
          <w:tcPr>
            <w:tcW w:w="1620" w:type="dxa"/>
            <w:noWrap/>
            <w:vAlign w:val="bottom"/>
            <w:hideMark/>
          </w:tcPr>
          <w:p w:rsidR="00521E33" w:rsidRPr="00D32300" w:rsidRDefault="00521E33" w:rsidP="009D02B5">
            <w:pPr>
              <w:pStyle w:val="TableText"/>
              <w:jc w:val="center"/>
            </w:pPr>
            <w:r w:rsidRPr="00D32300">
              <w:t>In-kind materials</w:t>
            </w:r>
          </w:p>
        </w:tc>
        <w:tc>
          <w:tcPr>
            <w:tcW w:w="1391" w:type="dxa"/>
            <w:noWrap/>
            <w:vAlign w:val="bottom"/>
            <w:hideMark/>
          </w:tcPr>
          <w:p w:rsidR="00521E33" w:rsidRPr="00D32300" w:rsidRDefault="00521E33" w:rsidP="009D02B5">
            <w:pPr>
              <w:pStyle w:val="TableText"/>
              <w:jc w:val="center"/>
            </w:pPr>
            <w:r w:rsidRPr="00D32300">
              <w:t>141,684,480</w:t>
            </w:r>
          </w:p>
        </w:tc>
        <w:tc>
          <w:tcPr>
            <w:tcW w:w="1440" w:type="dxa"/>
            <w:vAlign w:val="bottom"/>
            <w:hideMark/>
          </w:tcPr>
          <w:p w:rsidR="00521E33" w:rsidRPr="00D32300" w:rsidRDefault="00521E33" w:rsidP="009D02B5">
            <w:pPr>
              <w:pStyle w:val="TableText"/>
              <w:jc w:val="center"/>
            </w:pPr>
            <w:r w:rsidRPr="00D32300">
              <w:t>87,730</w:t>
            </w:r>
          </w:p>
        </w:tc>
        <w:tc>
          <w:tcPr>
            <w:tcW w:w="1260" w:type="dxa"/>
            <w:noWrap/>
            <w:vAlign w:val="bottom"/>
            <w:hideMark/>
          </w:tcPr>
          <w:p w:rsidR="00521E33" w:rsidRPr="00D32300" w:rsidRDefault="00521E33" w:rsidP="009D02B5">
            <w:pPr>
              <w:pStyle w:val="TableText"/>
              <w:jc w:val="center"/>
            </w:pPr>
            <w:r w:rsidRPr="00D32300">
              <w:t>12,614</w:t>
            </w:r>
          </w:p>
        </w:tc>
        <w:tc>
          <w:tcPr>
            <w:tcW w:w="1170" w:type="dxa"/>
            <w:noWrap/>
            <w:vAlign w:val="bottom"/>
            <w:hideMark/>
          </w:tcPr>
          <w:p w:rsidR="00521E33" w:rsidRPr="00D32300" w:rsidRDefault="00521E33" w:rsidP="009D02B5">
            <w:pPr>
              <w:pStyle w:val="TableText"/>
              <w:jc w:val="center"/>
            </w:pPr>
            <w:r w:rsidRPr="00D32300">
              <w:t>7.81</w:t>
            </w:r>
          </w:p>
        </w:tc>
        <w:tc>
          <w:tcPr>
            <w:tcW w:w="1440" w:type="dxa"/>
            <w:noWrap/>
            <w:vAlign w:val="bottom"/>
            <w:hideMark/>
          </w:tcPr>
          <w:p w:rsidR="00521E33" w:rsidRPr="00D32300" w:rsidRDefault="00521E33" w:rsidP="009D02B5">
            <w:pPr>
              <w:pStyle w:val="TableText"/>
              <w:jc w:val="center"/>
            </w:pPr>
            <w:r w:rsidRPr="00D32300">
              <w:t>100.0%</w:t>
            </w:r>
          </w:p>
        </w:tc>
      </w:tr>
      <w:tr w:rsidR="00D32300" w:rsidRPr="00D32300" w:rsidTr="009D02B5">
        <w:tc>
          <w:tcPr>
            <w:tcW w:w="990" w:type="dxa"/>
            <w:vAlign w:val="bottom"/>
            <w:hideMark/>
          </w:tcPr>
          <w:p w:rsidR="00521E33" w:rsidRPr="00D32300" w:rsidRDefault="00521E33" w:rsidP="00D32300">
            <w:pPr>
              <w:pStyle w:val="TableText"/>
            </w:pPr>
            <w:proofErr w:type="spellStart"/>
            <w:r w:rsidRPr="00D32300">
              <w:t>Africare</w:t>
            </w:r>
            <w:proofErr w:type="spellEnd"/>
          </w:p>
        </w:tc>
        <w:tc>
          <w:tcPr>
            <w:tcW w:w="1124" w:type="dxa"/>
            <w:vAlign w:val="bottom"/>
            <w:hideMark/>
          </w:tcPr>
          <w:p w:rsidR="00521E33" w:rsidRPr="00D32300" w:rsidRDefault="00521E33" w:rsidP="00D32300">
            <w:pPr>
              <w:pStyle w:val="TableText"/>
            </w:pPr>
            <w:proofErr w:type="spellStart"/>
            <w:r w:rsidRPr="00D32300">
              <w:t>Njombe</w:t>
            </w:r>
            <w:proofErr w:type="spellEnd"/>
          </w:p>
        </w:tc>
        <w:tc>
          <w:tcPr>
            <w:tcW w:w="1080" w:type="dxa"/>
            <w:noWrap/>
            <w:vAlign w:val="bottom"/>
            <w:hideMark/>
          </w:tcPr>
          <w:p w:rsidR="00521E33" w:rsidRPr="00D32300" w:rsidRDefault="00521E33" w:rsidP="009D02B5">
            <w:pPr>
              <w:pStyle w:val="TableText"/>
              <w:jc w:val="center"/>
            </w:pPr>
            <w:r w:rsidRPr="00D32300">
              <w:t>393</w:t>
            </w:r>
          </w:p>
        </w:tc>
        <w:tc>
          <w:tcPr>
            <w:tcW w:w="1170" w:type="dxa"/>
            <w:noWrap/>
            <w:vAlign w:val="bottom"/>
            <w:hideMark/>
          </w:tcPr>
          <w:p w:rsidR="00521E33" w:rsidRPr="00D32300" w:rsidRDefault="00521E33" w:rsidP="009D02B5">
            <w:pPr>
              <w:pStyle w:val="TableText"/>
              <w:jc w:val="center"/>
            </w:pPr>
            <w:r w:rsidRPr="00D32300">
              <w:t>393</w:t>
            </w:r>
          </w:p>
        </w:tc>
        <w:tc>
          <w:tcPr>
            <w:tcW w:w="1170" w:type="dxa"/>
            <w:noWrap/>
            <w:vAlign w:val="bottom"/>
            <w:hideMark/>
          </w:tcPr>
          <w:p w:rsidR="00521E33" w:rsidRPr="00D32300" w:rsidRDefault="00521E33" w:rsidP="009D02B5">
            <w:pPr>
              <w:pStyle w:val="TableText"/>
              <w:jc w:val="center"/>
            </w:pPr>
            <w:r w:rsidRPr="00D32300">
              <w:t>6,769</w:t>
            </w:r>
          </w:p>
        </w:tc>
        <w:tc>
          <w:tcPr>
            <w:tcW w:w="1620" w:type="dxa"/>
            <w:noWrap/>
            <w:vAlign w:val="bottom"/>
            <w:hideMark/>
          </w:tcPr>
          <w:p w:rsidR="00521E33" w:rsidRPr="00D32300" w:rsidRDefault="00521E33" w:rsidP="009D02B5">
            <w:pPr>
              <w:pStyle w:val="TableText"/>
              <w:jc w:val="center"/>
            </w:pPr>
            <w:r w:rsidRPr="00D32300">
              <w:t>In-kind materials</w:t>
            </w:r>
          </w:p>
        </w:tc>
        <w:tc>
          <w:tcPr>
            <w:tcW w:w="1391" w:type="dxa"/>
            <w:noWrap/>
            <w:vAlign w:val="bottom"/>
            <w:hideMark/>
          </w:tcPr>
          <w:p w:rsidR="00521E33" w:rsidRPr="00D32300" w:rsidRDefault="00521E33" w:rsidP="009D02B5">
            <w:pPr>
              <w:pStyle w:val="TableText"/>
              <w:jc w:val="center"/>
            </w:pPr>
            <w:r w:rsidRPr="00D32300">
              <w:t>134,669,130</w:t>
            </w:r>
          </w:p>
        </w:tc>
        <w:tc>
          <w:tcPr>
            <w:tcW w:w="1440" w:type="dxa"/>
            <w:vAlign w:val="bottom"/>
            <w:hideMark/>
          </w:tcPr>
          <w:p w:rsidR="00521E33" w:rsidRPr="00D32300" w:rsidRDefault="00521E33" w:rsidP="009D02B5">
            <w:pPr>
              <w:pStyle w:val="TableText"/>
              <w:jc w:val="center"/>
            </w:pPr>
            <w:r w:rsidRPr="00D32300">
              <w:t>83,386</w:t>
            </w:r>
          </w:p>
        </w:tc>
        <w:tc>
          <w:tcPr>
            <w:tcW w:w="1260" w:type="dxa"/>
            <w:noWrap/>
            <w:vAlign w:val="bottom"/>
            <w:hideMark/>
          </w:tcPr>
          <w:p w:rsidR="00521E33" w:rsidRPr="00D32300" w:rsidRDefault="00521E33" w:rsidP="009D02B5">
            <w:pPr>
              <w:pStyle w:val="TableText"/>
              <w:jc w:val="center"/>
            </w:pPr>
            <w:r w:rsidRPr="00D32300">
              <w:t>19,895</w:t>
            </w:r>
          </w:p>
        </w:tc>
        <w:tc>
          <w:tcPr>
            <w:tcW w:w="1170" w:type="dxa"/>
            <w:noWrap/>
            <w:vAlign w:val="bottom"/>
            <w:hideMark/>
          </w:tcPr>
          <w:p w:rsidR="00521E33" w:rsidRPr="00D32300" w:rsidRDefault="00521E33" w:rsidP="009D02B5">
            <w:pPr>
              <w:pStyle w:val="TableText"/>
              <w:jc w:val="center"/>
            </w:pPr>
            <w:r w:rsidRPr="00D32300">
              <w:t>12.32</w:t>
            </w:r>
          </w:p>
        </w:tc>
        <w:tc>
          <w:tcPr>
            <w:tcW w:w="1440" w:type="dxa"/>
            <w:noWrap/>
            <w:vAlign w:val="bottom"/>
            <w:hideMark/>
          </w:tcPr>
          <w:p w:rsidR="00521E33" w:rsidRPr="00D32300" w:rsidRDefault="00521E33" w:rsidP="009D02B5">
            <w:pPr>
              <w:pStyle w:val="TableText"/>
              <w:jc w:val="center"/>
            </w:pPr>
            <w:r w:rsidRPr="00D32300">
              <w:t>100.0%</w:t>
            </w:r>
          </w:p>
        </w:tc>
      </w:tr>
      <w:tr w:rsidR="00D32300" w:rsidRPr="00D32300" w:rsidTr="009D02B5">
        <w:tc>
          <w:tcPr>
            <w:tcW w:w="990" w:type="dxa"/>
            <w:vAlign w:val="bottom"/>
            <w:hideMark/>
          </w:tcPr>
          <w:p w:rsidR="00521E33" w:rsidRPr="00D32300" w:rsidRDefault="00521E33" w:rsidP="00D32300">
            <w:pPr>
              <w:pStyle w:val="TableText"/>
            </w:pPr>
            <w:proofErr w:type="spellStart"/>
            <w:r w:rsidRPr="00D32300">
              <w:t>Africare</w:t>
            </w:r>
            <w:proofErr w:type="spellEnd"/>
          </w:p>
        </w:tc>
        <w:tc>
          <w:tcPr>
            <w:tcW w:w="1124" w:type="dxa"/>
            <w:vAlign w:val="bottom"/>
            <w:hideMark/>
          </w:tcPr>
          <w:p w:rsidR="00521E33" w:rsidRPr="00D32300" w:rsidRDefault="00521E33" w:rsidP="00D32300">
            <w:pPr>
              <w:pStyle w:val="TableText"/>
            </w:pPr>
            <w:r w:rsidRPr="00D32300">
              <w:t>Dodoma</w:t>
            </w:r>
          </w:p>
        </w:tc>
        <w:tc>
          <w:tcPr>
            <w:tcW w:w="1080" w:type="dxa"/>
            <w:noWrap/>
            <w:vAlign w:val="bottom"/>
            <w:hideMark/>
          </w:tcPr>
          <w:p w:rsidR="00521E33" w:rsidRPr="00D32300" w:rsidRDefault="00521E33" w:rsidP="009D02B5">
            <w:pPr>
              <w:pStyle w:val="TableText"/>
              <w:jc w:val="center"/>
            </w:pPr>
            <w:r w:rsidRPr="00D32300">
              <w:t>344</w:t>
            </w:r>
          </w:p>
        </w:tc>
        <w:tc>
          <w:tcPr>
            <w:tcW w:w="1170" w:type="dxa"/>
            <w:noWrap/>
            <w:vAlign w:val="bottom"/>
            <w:hideMark/>
          </w:tcPr>
          <w:p w:rsidR="00521E33" w:rsidRPr="00D32300" w:rsidRDefault="00521E33" w:rsidP="009D02B5">
            <w:pPr>
              <w:pStyle w:val="TableText"/>
              <w:jc w:val="center"/>
            </w:pPr>
            <w:r w:rsidRPr="00D32300">
              <w:t>344</w:t>
            </w:r>
          </w:p>
        </w:tc>
        <w:tc>
          <w:tcPr>
            <w:tcW w:w="1170" w:type="dxa"/>
            <w:noWrap/>
            <w:vAlign w:val="bottom"/>
            <w:hideMark/>
          </w:tcPr>
          <w:p w:rsidR="00521E33" w:rsidRPr="00D32300" w:rsidRDefault="00521E33" w:rsidP="009D02B5">
            <w:pPr>
              <w:pStyle w:val="TableText"/>
              <w:jc w:val="center"/>
            </w:pPr>
            <w:r w:rsidRPr="00D32300">
              <w:t>5,548</w:t>
            </w:r>
          </w:p>
        </w:tc>
        <w:tc>
          <w:tcPr>
            <w:tcW w:w="1620" w:type="dxa"/>
            <w:noWrap/>
            <w:vAlign w:val="bottom"/>
            <w:hideMark/>
          </w:tcPr>
          <w:p w:rsidR="00521E33" w:rsidRPr="00D32300" w:rsidRDefault="00521E33" w:rsidP="009D02B5">
            <w:pPr>
              <w:pStyle w:val="TableText"/>
              <w:jc w:val="center"/>
            </w:pPr>
            <w:r w:rsidRPr="00D32300">
              <w:t>In-kind materials</w:t>
            </w:r>
          </w:p>
        </w:tc>
        <w:tc>
          <w:tcPr>
            <w:tcW w:w="1391" w:type="dxa"/>
            <w:noWrap/>
            <w:vAlign w:val="bottom"/>
            <w:hideMark/>
          </w:tcPr>
          <w:p w:rsidR="00521E33" w:rsidRPr="00D32300" w:rsidRDefault="00521E33" w:rsidP="009D02B5">
            <w:pPr>
              <w:pStyle w:val="TableText"/>
              <w:jc w:val="center"/>
            </w:pPr>
            <w:r w:rsidRPr="00D32300">
              <w:t>82,739,890</w:t>
            </w:r>
          </w:p>
        </w:tc>
        <w:tc>
          <w:tcPr>
            <w:tcW w:w="1440" w:type="dxa"/>
            <w:vAlign w:val="bottom"/>
            <w:hideMark/>
          </w:tcPr>
          <w:p w:rsidR="00521E33" w:rsidRPr="00D32300" w:rsidRDefault="00521E33" w:rsidP="009D02B5">
            <w:pPr>
              <w:pStyle w:val="TableText"/>
              <w:jc w:val="center"/>
            </w:pPr>
            <w:r w:rsidRPr="00D32300">
              <w:t>51,232</w:t>
            </w:r>
          </w:p>
        </w:tc>
        <w:tc>
          <w:tcPr>
            <w:tcW w:w="1260" w:type="dxa"/>
            <w:noWrap/>
            <w:vAlign w:val="bottom"/>
            <w:hideMark/>
          </w:tcPr>
          <w:p w:rsidR="00521E33" w:rsidRPr="00D32300" w:rsidRDefault="00521E33" w:rsidP="009D02B5">
            <w:pPr>
              <w:pStyle w:val="TableText"/>
              <w:jc w:val="center"/>
            </w:pPr>
            <w:r w:rsidRPr="00D32300">
              <w:t>14,913</w:t>
            </w:r>
          </w:p>
        </w:tc>
        <w:tc>
          <w:tcPr>
            <w:tcW w:w="1170" w:type="dxa"/>
            <w:noWrap/>
            <w:vAlign w:val="bottom"/>
            <w:hideMark/>
          </w:tcPr>
          <w:p w:rsidR="00521E33" w:rsidRPr="00D32300" w:rsidRDefault="00521E33" w:rsidP="009D02B5">
            <w:pPr>
              <w:pStyle w:val="TableText"/>
              <w:jc w:val="center"/>
            </w:pPr>
            <w:r w:rsidRPr="00D32300">
              <w:t>9.23</w:t>
            </w:r>
          </w:p>
        </w:tc>
        <w:tc>
          <w:tcPr>
            <w:tcW w:w="1440" w:type="dxa"/>
            <w:noWrap/>
            <w:vAlign w:val="bottom"/>
            <w:hideMark/>
          </w:tcPr>
          <w:p w:rsidR="00521E33" w:rsidRPr="00D32300" w:rsidRDefault="00521E33" w:rsidP="009D02B5">
            <w:pPr>
              <w:pStyle w:val="TableText"/>
              <w:jc w:val="center"/>
            </w:pPr>
            <w:r w:rsidRPr="00D32300">
              <w:t>100.0%</w:t>
            </w:r>
          </w:p>
        </w:tc>
      </w:tr>
      <w:tr w:rsidR="00D32300" w:rsidRPr="00D32300" w:rsidTr="009D02B5">
        <w:tc>
          <w:tcPr>
            <w:tcW w:w="990" w:type="dxa"/>
            <w:vAlign w:val="bottom"/>
            <w:hideMark/>
          </w:tcPr>
          <w:p w:rsidR="00521E33" w:rsidRPr="00D32300" w:rsidRDefault="00521E33" w:rsidP="00D32300">
            <w:pPr>
              <w:pStyle w:val="TableText"/>
            </w:pPr>
            <w:proofErr w:type="spellStart"/>
            <w:r w:rsidRPr="00D32300">
              <w:t>Africare</w:t>
            </w:r>
            <w:proofErr w:type="spellEnd"/>
          </w:p>
        </w:tc>
        <w:tc>
          <w:tcPr>
            <w:tcW w:w="1124" w:type="dxa"/>
            <w:vAlign w:val="bottom"/>
            <w:hideMark/>
          </w:tcPr>
          <w:p w:rsidR="00521E33" w:rsidRPr="00D32300" w:rsidRDefault="00521E33" w:rsidP="00D32300">
            <w:pPr>
              <w:pStyle w:val="TableText"/>
            </w:pPr>
            <w:proofErr w:type="spellStart"/>
            <w:r w:rsidRPr="00D32300">
              <w:t>Singida</w:t>
            </w:r>
            <w:proofErr w:type="spellEnd"/>
          </w:p>
        </w:tc>
        <w:tc>
          <w:tcPr>
            <w:tcW w:w="1080" w:type="dxa"/>
            <w:noWrap/>
            <w:vAlign w:val="bottom"/>
            <w:hideMark/>
          </w:tcPr>
          <w:p w:rsidR="00521E33" w:rsidRPr="00D32300" w:rsidRDefault="00521E33" w:rsidP="009D02B5">
            <w:pPr>
              <w:pStyle w:val="TableText"/>
              <w:jc w:val="center"/>
            </w:pPr>
            <w:r w:rsidRPr="00D32300">
              <w:t>166</w:t>
            </w:r>
          </w:p>
        </w:tc>
        <w:tc>
          <w:tcPr>
            <w:tcW w:w="1170" w:type="dxa"/>
            <w:noWrap/>
            <w:vAlign w:val="bottom"/>
            <w:hideMark/>
          </w:tcPr>
          <w:p w:rsidR="00521E33" w:rsidRPr="00D32300" w:rsidRDefault="00521E33" w:rsidP="009D02B5">
            <w:pPr>
              <w:pStyle w:val="TableText"/>
              <w:jc w:val="center"/>
            </w:pPr>
            <w:r w:rsidRPr="00D32300">
              <w:t>166</w:t>
            </w:r>
          </w:p>
        </w:tc>
        <w:tc>
          <w:tcPr>
            <w:tcW w:w="1170" w:type="dxa"/>
            <w:noWrap/>
            <w:vAlign w:val="bottom"/>
            <w:hideMark/>
          </w:tcPr>
          <w:p w:rsidR="00521E33" w:rsidRPr="00D32300" w:rsidRDefault="00521E33" w:rsidP="009D02B5">
            <w:pPr>
              <w:pStyle w:val="TableText"/>
              <w:jc w:val="center"/>
            </w:pPr>
            <w:r w:rsidRPr="00D32300">
              <w:t>577</w:t>
            </w:r>
          </w:p>
        </w:tc>
        <w:tc>
          <w:tcPr>
            <w:tcW w:w="1620" w:type="dxa"/>
            <w:noWrap/>
            <w:vAlign w:val="bottom"/>
            <w:hideMark/>
          </w:tcPr>
          <w:p w:rsidR="00521E33" w:rsidRPr="00D32300" w:rsidRDefault="00521E33" w:rsidP="009D02B5">
            <w:pPr>
              <w:pStyle w:val="TableText"/>
              <w:jc w:val="center"/>
            </w:pPr>
            <w:r w:rsidRPr="00D32300">
              <w:t>In-kind materials</w:t>
            </w:r>
          </w:p>
        </w:tc>
        <w:tc>
          <w:tcPr>
            <w:tcW w:w="1391" w:type="dxa"/>
            <w:noWrap/>
            <w:vAlign w:val="bottom"/>
            <w:hideMark/>
          </w:tcPr>
          <w:p w:rsidR="00521E33" w:rsidRPr="00D32300" w:rsidRDefault="00521E33" w:rsidP="009D02B5">
            <w:pPr>
              <w:pStyle w:val="TableText"/>
              <w:jc w:val="center"/>
            </w:pPr>
            <w:r w:rsidRPr="00D32300">
              <w:t>24,214,720</w:t>
            </w:r>
          </w:p>
        </w:tc>
        <w:tc>
          <w:tcPr>
            <w:tcW w:w="1440" w:type="dxa"/>
            <w:vAlign w:val="bottom"/>
            <w:hideMark/>
          </w:tcPr>
          <w:p w:rsidR="00521E33" w:rsidRPr="00D32300" w:rsidRDefault="00521E33" w:rsidP="009D02B5">
            <w:pPr>
              <w:pStyle w:val="TableText"/>
              <w:jc w:val="center"/>
            </w:pPr>
            <w:r w:rsidRPr="00D32300">
              <w:t>14,994</w:t>
            </w:r>
          </w:p>
        </w:tc>
        <w:tc>
          <w:tcPr>
            <w:tcW w:w="1260" w:type="dxa"/>
            <w:noWrap/>
            <w:vAlign w:val="bottom"/>
            <w:hideMark/>
          </w:tcPr>
          <w:p w:rsidR="00521E33" w:rsidRPr="00D32300" w:rsidRDefault="00521E33" w:rsidP="009D02B5">
            <w:pPr>
              <w:pStyle w:val="TableText"/>
              <w:jc w:val="center"/>
            </w:pPr>
            <w:r w:rsidRPr="00D32300">
              <w:t>41,967</w:t>
            </w:r>
          </w:p>
        </w:tc>
        <w:tc>
          <w:tcPr>
            <w:tcW w:w="1170" w:type="dxa"/>
            <w:noWrap/>
            <w:vAlign w:val="bottom"/>
            <w:hideMark/>
          </w:tcPr>
          <w:p w:rsidR="00521E33" w:rsidRPr="00D32300" w:rsidRDefault="00521E33" w:rsidP="009D02B5">
            <w:pPr>
              <w:pStyle w:val="TableText"/>
              <w:jc w:val="center"/>
            </w:pPr>
            <w:r w:rsidRPr="00D32300">
              <w:t>25.99</w:t>
            </w:r>
          </w:p>
        </w:tc>
        <w:tc>
          <w:tcPr>
            <w:tcW w:w="1440" w:type="dxa"/>
            <w:noWrap/>
            <w:vAlign w:val="bottom"/>
            <w:hideMark/>
          </w:tcPr>
          <w:p w:rsidR="00521E33" w:rsidRPr="00D32300" w:rsidRDefault="00521E33" w:rsidP="009D02B5">
            <w:pPr>
              <w:pStyle w:val="TableText"/>
              <w:jc w:val="center"/>
            </w:pPr>
            <w:r w:rsidRPr="00D32300">
              <w:t>100.0%</w:t>
            </w:r>
          </w:p>
        </w:tc>
      </w:tr>
      <w:tr w:rsidR="00D32300" w:rsidRPr="00D32300" w:rsidTr="009D02B5">
        <w:tc>
          <w:tcPr>
            <w:tcW w:w="990" w:type="dxa"/>
            <w:vAlign w:val="bottom"/>
            <w:hideMark/>
          </w:tcPr>
          <w:p w:rsidR="00521E33" w:rsidRPr="00D32300" w:rsidRDefault="00521E33" w:rsidP="00D32300">
            <w:pPr>
              <w:pStyle w:val="TableText"/>
            </w:pPr>
            <w:r w:rsidRPr="00D32300">
              <w:t>WEI</w:t>
            </w:r>
          </w:p>
        </w:tc>
        <w:tc>
          <w:tcPr>
            <w:tcW w:w="1124" w:type="dxa"/>
            <w:vAlign w:val="bottom"/>
            <w:hideMark/>
          </w:tcPr>
          <w:p w:rsidR="00521E33" w:rsidRPr="00D32300" w:rsidRDefault="00521E33" w:rsidP="00D32300">
            <w:pPr>
              <w:pStyle w:val="TableText"/>
            </w:pPr>
            <w:proofErr w:type="spellStart"/>
            <w:r w:rsidRPr="00D32300">
              <w:t>Tanga</w:t>
            </w:r>
            <w:proofErr w:type="spellEnd"/>
          </w:p>
        </w:tc>
        <w:tc>
          <w:tcPr>
            <w:tcW w:w="1080" w:type="dxa"/>
            <w:noWrap/>
            <w:vAlign w:val="bottom"/>
            <w:hideMark/>
          </w:tcPr>
          <w:p w:rsidR="00521E33" w:rsidRPr="00D32300" w:rsidRDefault="00521E33" w:rsidP="009D02B5">
            <w:pPr>
              <w:pStyle w:val="TableText"/>
              <w:jc w:val="center"/>
            </w:pPr>
            <w:r w:rsidRPr="00D32300">
              <w:t>84</w:t>
            </w:r>
          </w:p>
        </w:tc>
        <w:tc>
          <w:tcPr>
            <w:tcW w:w="1170" w:type="dxa"/>
            <w:noWrap/>
            <w:vAlign w:val="bottom"/>
            <w:hideMark/>
          </w:tcPr>
          <w:p w:rsidR="00521E33" w:rsidRPr="00D32300" w:rsidRDefault="00521E33" w:rsidP="009D02B5">
            <w:pPr>
              <w:pStyle w:val="TableText"/>
              <w:jc w:val="center"/>
            </w:pPr>
            <w:r w:rsidRPr="00D32300">
              <w:t>128</w:t>
            </w:r>
          </w:p>
        </w:tc>
        <w:tc>
          <w:tcPr>
            <w:tcW w:w="1170" w:type="dxa"/>
            <w:noWrap/>
            <w:vAlign w:val="bottom"/>
            <w:hideMark/>
          </w:tcPr>
          <w:p w:rsidR="00521E33" w:rsidRPr="00D32300" w:rsidRDefault="00521E33" w:rsidP="009D02B5">
            <w:pPr>
              <w:pStyle w:val="TableText"/>
              <w:jc w:val="center"/>
            </w:pPr>
            <w:r w:rsidRPr="00D32300">
              <w:t>1,593</w:t>
            </w:r>
          </w:p>
        </w:tc>
        <w:tc>
          <w:tcPr>
            <w:tcW w:w="1620" w:type="dxa"/>
            <w:noWrap/>
            <w:vAlign w:val="bottom"/>
            <w:hideMark/>
          </w:tcPr>
          <w:p w:rsidR="00521E33" w:rsidRPr="00D32300" w:rsidRDefault="00521E33" w:rsidP="009D02B5">
            <w:pPr>
              <w:pStyle w:val="TableText"/>
              <w:jc w:val="center"/>
            </w:pPr>
            <w:r w:rsidRPr="00D32300">
              <w:t>Cash and in-kind</w:t>
            </w:r>
          </w:p>
        </w:tc>
        <w:tc>
          <w:tcPr>
            <w:tcW w:w="1391" w:type="dxa"/>
            <w:noWrap/>
            <w:vAlign w:val="bottom"/>
            <w:hideMark/>
          </w:tcPr>
          <w:p w:rsidR="00521E33" w:rsidRPr="00D32300" w:rsidRDefault="00521E33" w:rsidP="009D02B5">
            <w:pPr>
              <w:pStyle w:val="TableText"/>
              <w:jc w:val="center"/>
            </w:pPr>
            <w:r w:rsidRPr="00D32300">
              <w:t>6,069,687</w:t>
            </w:r>
          </w:p>
        </w:tc>
        <w:tc>
          <w:tcPr>
            <w:tcW w:w="1440" w:type="dxa"/>
            <w:vAlign w:val="bottom"/>
            <w:hideMark/>
          </w:tcPr>
          <w:p w:rsidR="00521E33" w:rsidRPr="00D32300" w:rsidRDefault="00521E33" w:rsidP="009D02B5">
            <w:pPr>
              <w:pStyle w:val="TableText"/>
              <w:jc w:val="center"/>
            </w:pPr>
            <w:r w:rsidRPr="00D32300">
              <w:t>3,758</w:t>
            </w:r>
          </w:p>
        </w:tc>
        <w:tc>
          <w:tcPr>
            <w:tcW w:w="1260" w:type="dxa"/>
            <w:noWrap/>
            <w:vAlign w:val="bottom"/>
            <w:hideMark/>
          </w:tcPr>
          <w:p w:rsidR="00521E33" w:rsidRPr="00D32300" w:rsidRDefault="00521E33" w:rsidP="009D02B5">
            <w:pPr>
              <w:pStyle w:val="TableText"/>
              <w:jc w:val="center"/>
            </w:pPr>
            <w:r w:rsidRPr="00D32300">
              <w:t>3,810.22</w:t>
            </w:r>
          </w:p>
        </w:tc>
        <w:tc>
          <w:tcPr>
            <w:tcW w:w="1170" w:type="dxa"/>
            <w:noWrap/>
            <w:vAlign w:val="bottom"/>
            <w:hideMark/>
          </w:tcPr>
          <w:p w:rsidR="00521E33" w:rsidRPr="00D32300" w:rsidRDefault="00521E33" w:rsidP="009D02B5">
            <w:pPr>
              <w:pStyle w:val="TableText"/>
              <w:jc w:val="center"/>
            </w:pPr>
            <w:r w:rsidRPr="00D32300">
              <w:t>2.36</w:t>
            </w:r>
          </w:p>
        </w:tc>
        <w:tc>
          <w:tcPr>
            <w:tcW w:w="1440" w:type="dxa"/>
            <w:noWrap/>
            <w:vAlign w:val="bottom"/>
            <w:hideMark/>
          </w:tcPr>
          <w:p w:rsidR="00521E33" w:rsidRPr="00D32300" w:rsidRDefault="00521E33" w:rsidP="009D02B5">
            <w:pPr>
              <w:pStyle w:val="TableText"/>
              <w:jc w:val="center"/>
            </w:pPr>
            <w:r w:rsidRPr="00D32300">
              <w:t>65.6%</w:t>
            </w:r>
          </w:p>
        </w:tc>
      </w:tr>
      <w:tr w:rsidR="00D32300" w:rsidRPr="00D32300" w:rsidTr="009D02B5">
        <w:tc>
          <w:tcPr>
            <w:tcW w:w="990" w:type="dxa"/>
            <w:vAlign w:val="bottom"/>
            <w:hideMark/>
          </w:tcPr>
          <w:p w:rsidR="00521E33" w:rsidRPr="00D32300" w:rsidRDefault="00521E33" w:rsidP="00D32300">
            <w:pPr>
              <w:pStyle w:val="TableText"/>
            </w:pPr>
            <w:r w:rsidRPr="00D32300">
              <w:t>WEI</w:t>
            </w:r>
          </w:p>
        </w:tc>
        <w:tc>
          <w:tcPr>
            <w:tcW w:w="1124" w:type="dxa"/>
            <w:vAlign w:val="bottom"/>
            <w:hideMark/>
          </w:tcPr>
          <w:p w:rsidR="00521E33" w:rsidRPr="00D32300" w:rsidRDefault="00521E33" w:rsidP="00D32300">
            <w:pPr>
              <w:pStyle w:val="TableText"/>
            </w:pPr>
            <w:r w:rsidRPr="00D32300">
              <w:t>Kilimanjaro</w:t>
            </w:r>
          </w:p>
        </w:tc>
        <w:tc>
          <w:tcPr>
            <w:tcW w:w="1080" w:type="dxa"/>
            <w:noWrap/>
            <w:vAlign w:val="bottom"/>
            <w:hideMark/>
          </w:tcPr>
          <w:p w:rsidR="00521E33" w:rsidRPr="00D32300" w:rsidRDefault="00521E33" w:rsidP="009D02B5">
            <w:pPr>
              <w:pStyle w:val="TableText"/>
              <w:jc w:val="center"/>
            </w:pPr>
            <w:r w:rsidRPr="00D32300">
              <w:t>20</w:t>
            </w:r>
          </w:p>
        </w:tc>
        <w:tc>
          <w:tcPr>
            <w:tcW w:w="1170" w:type="dxa"/>
            <w:noWrap/>
            <w:vAlign w:val="bottom"/>
            <w:hideMark/>
          </w:tcPr>
          <w:p w:rsidR="00521E33" w:rsidRPr="00D32300" w:rsidRDefault="00521E33" w:rsidP="009D02B5">
            <w:pPr>
              <w:pStyle w:val="TableText"/>
              <w:jc w:val="center"/>
            </w:pPr>
            <w:r w:rsidRPr="00D32300">
              <w:t>44</w:t>
            </w:r>
          </w:p>
        </w:tc>
        <w:tc>
          <w:tcPr>
            <w:tcW w:w="1170" w:type="dxa"/>
            <w:noWrap/>
            <w:vAlign w:val="bottom"/>
            <w:hideMark/>
          </w:tcPr>
          <w:p w:rsidR="00521E33" w:rsidRPr="00D32300" w:rsidRDefault="00521E33" w:rsidP="009D02B5">
            <w:pPr>
              <w:pStyle w:val="TableText"/>
              <w:jc w:val="center"/>
            </w:pPr>
            <w:r w:rsidRPr="00D32300">
              <w:t>3,235</w:t>
            </w:r>
          </w:p>
        </w:tc>
        <w:tc>
          <w:tcPr>
            <w:tcW w:w="1620" w:type="dxa"/>
            <w:noWrap/>
            <w:vAlign w:val="bottom"/>
            <w:hideMark/>
          </w:tcPr>
          <w:p w:rsidR="00521E33" w:rsidRPr="00D32300" w:rsidRDefault="00521E33" w:rsidP="009D02B5">
            <w:pPr>
              <w:pStyle w:val="TableText"/>
              <w:jc w:val="center"/>
            </w:pPr>
            <w:r w:rsidRPr="00D32300">
              <w:t>Cash and in-kind</w:t>
            </w:r>
          </w:p>
        </w:tc>
        <w:tc>
          <w:tcPr>
            <w:tcW w:w="1391" w:type="dxa"/>
            <w:noWrap/>
            <w:vAlign w:val="bottom"/>
            <w:hideMark/>
          </w:tcPr>
          <w:p w:rsidR="00521E33" w:rsidRPr="00D32300" w:rsidRDefault="00521E33" w:rsidP="009D02B5">
            <w:pPr>
              <w:pStyle w:val="TableText"/>
              <w:jc w:val="center"/>
            </w:pPr>
            <w:r w:rsidRPr="00D32300">
              <w:t>775,000</w:t>
            </w:r>
          </w:p>
        </w:tc>
        <w:tc>
          <w:tcPr>
            <w:tcW w:w="1440" w:type="dxa"/>
            <w:vAlign w:val="bottom"/>
            <w:hideMark/>
          </w:tcPr>
          <w:p w:rsidR="00521E33" w:rsidRPr="00D32300" w:rsidRDefault="00521E33" w:rsidP="009D02B5">
            <w:pPr>
              <w:pStyle w:val="TableText"/>
              <w:jc w:val="center"/>
            </w:pPr>
            <w:r w:rsidRPr="00D32300">
              <w:t>480</w:t>
            </w:r>
          </w:p>
        </w:tc>
        <w:tc>
          <w:tcPr>
            <w:tcW w:w="1260" w:type="dxa"/>
            <w:noWrap/>
            <w:vAlign w:val="bottom"/>
            <w:hideMark/>
          </w:tcPr>
          <w:p w:rsidR="00521E33" w:rsidRPr="00D32300" w:rsidRDefault="00521E33" w:rsidP="009D02B5">
            <w:pPr>
              <w:pStyle w:val="TableText"/>
              <w:jc w:val="center"/>
            </w:pPr>
            <w:r w:rsidRPr="00D32300">
              <w:t>239.57</w:t>
            </w:r>
          </w:p>
        </w:tc>
        <w:tc>
          <w:tcPr>
            <w:tcW w:w="1170" w:type="dxa"/>
            <w:noWrap/>
            <w:vAlign w:val="bottom"/>
            <w:hideMark/>
          </w:tcPr>
          <w:p w:rsidR="00521E33" w:rsidRPr="00D32300" w:rsidRDefault="00521E33" w:rsidP="009D02B5">
            <w:pPr>
              <w:pStyle w:val="TableText"/>
              <w:jc w:val="center"/>
            </w:pPr>
            <w:r w:rsidRPr="00D32300">
              <w:t>0.15</w:t>
            </w:r>
          </w:p>
        </w:tc>
        <w:tc>
          <w:tcPr>
            <w:tcW w:w="1440" w:type="dxa"/>
            <w:noWrap/>
            <w:vAlign w:val="bottom"/>
            <w:hideMark/>
          </w:tcPr>
          <w:p w:rsidR="00521E33" w:rsidRPr="00D32300" w:rsidRDefault="00521E33" w:rsidP="009D02B5">
            <w:pPr>
              <w:pStyle w:val="TableText"/>
              <w:jc w:val="center"/>
            </w:pPr>
            <w:r w:rsidRPr="00D32300">
              <w:t>45.5%</w:t>
            </w:r>
          </w:p>
        </w:tc>
      </w:tr>
      <w:tr w:rsidR="00D32300" w:rsidRPr="00D32300" w:rsidTr="009D02B5">
        <w:tc>
          <w:tcPr>
            <w:tcW w:w="990" w:type="dxa"/>
            <w:vAlign w:val="bottom"/>
            <w:hideMark/>
          </w:tcPr>
          <w:p w:rsidR="00521E33" w:rsidRPr="00D32300" w:rsidRDefault="00521E33" w:rsidP="00D32300">
            <w:pPr>
              <w:pStyle w:val="TableText"/>
            </w:pPr>
            <w:r w:rsidRPr="00D32300">
              <w:t>WEI</w:t>
            </w:r>
          </w:p>
        </w:tc>
        <w:tc>
          <w:tcPr>
            <w:tcW w:w="1124" w:type="dxa"/>
            <w:vAlign w:val="bottom"/>
            <w:hideMark/>
          </w:tcPr>
          <w:p w:rsidR="00521E33" w:rsidRPr="00D32300" w:rsidRDefault="00521E33" w:rsidP="00D32300">
            <w:pPr>
              <w:pStyle w:val="TableText"/>
            </w:pPr>
            <w:r w:rsidRPr="00D32300">
              <w:t>Arusha</w:t>
            </w:r>
          </w:p>
        </w:tc>
        <w:tc>
          <w:tcPr>
            <w:tcW w:w="1080" w:type="dxa"/>
            <w:noWrap/>
            <w:vAlign w:val="bottom"/>
            <w:hideMark/>
          </w:tcPr>
          <w:p w:rsidR="00521E33" w:rsidRPr="00D32300" w:rsidRDefault="00521E33" w:rsidP="009D02B5">
            <w:pPr>
              <w:pStyle w:val="TableText"/>
              <w:jc w:val="center"/>
            </w:pPr>
            <w:r w:rsidRPr="00D32300">
              <w:t>17</w:t>
            </w:r>
          </w:p>
        </w:tc>
        <w:tc>
          <w:tcPr>
            <w:tcW w:w="1170" w:type="dxa"/>
            <w:noWrap/>
            <w:vAlign w:val="bottom"/>
            <w:hideMark/>
          </w:tcPr>
          <w:p w:rsidR="00521E33" w:rsidRPr="00D32300" w:rsidRDefault="00521E33" w:rsidP="009D02B5">
            <w:pPr>
              <w:pStyle w:val="TableText"/>
              <w:jc w:val="center"/>
            </w:pPr>
            <w:r w:rsidRPr="00D32300">
              <w:t>26</w:t>
            </w:r>
          </w:p>
        </w:tc>
        <w:tc>
          <w:tcPr>
            <w:tcW w:w="1170" w:type="dxa"/>
            <w:noWrap/>
            <w:vAlign w:val="bottom"/>
            <w:hideMark/>
          </w:tcPr>
          <w:p w:rsidR="00521E33" w:rsidRPr="00D32300" w:rsidRDefault="00521E33" w:rsidP="009D02B5">
            <w:pPr>
              <w:pStyle w:val="TableText"/>
              <w:jc w:val="center"/>
            </w:pPr>
            <w:r w:rsidRPr="00D32300">
              <w:t>1,568</w:t>
            </w:r>
          </w:p>
        </w:tc>
        <w:tc>
          <w:tcPr>
            <w:tcW w:w="1620" w:type="dxa"/>
            <w:noWrap/>
            <w:vAlign w:val="bottom"/>
            <w:hideMark/>
          </w:tcPr>
          <w:p w:rsidR="00521E33" w:rsidRPr="00D32300" w:rsidRDefault="00521E33" w:rsidP="009D02B5">
            <w:pPr>
              <w:pStyle w:val="TableText"/>
              <w:jc w:val="center"/>
            </w:pPr>
            <w:r w:rsidRPr="00D32300">
              <w:t>Cash and in-kind</w:t>
            </w:r>
          </w:p>
        </w:tc>
        <w:tc>
          <w:tcPr>
            <w:tcW w:w="1391" w:type="dxa"/>
            <w:noWrap/>
            <w:vAlign w:val="bottom"/>
            <w:hideMark/>
          </w:tcPr>
          <w:p w:rsidR="00521E33" w:rsidRPr="00D32300" w:rsidRDefault="00521E33" w:rsidP="009D02B5">
            <w:pPr>
              <w:pStyle w:val="TableText"/>
              <w:jc w:val="center"/>
            </w:pPr>
            <w:r w:rsidRPr="00D32300">
              <w:t>1,131,000</w:t>
            </w:r>
          </w:p>
        </w:tc>
        <w:tc>
          <w:tcPr>
            <w:tcW w:w="1440" w:type="dxa"/>
            <w:vAlign w:val="bottom"/>
            <w:hideMark/>
          </w:tcPr>
          <w:p w:rsidR="00521E33" w:rsidRPr="00D32300" w:rsidRDefault="00521E33" w:rsidP="009D02B5">
            <w:pPr>
              <w:pStyle w:val="TableText"/>
              <w:jc w:val="center"/>
            </w:pPr>
            <w:r w:rsidRPr="00D32300">
              <w:t>700</w:t>
            </w:r>
          </w:p>
        </w:tc>
        <w:tc>
          <w:tcPr>
            <w:tcW w:w="1260" w:type="dxa"/>
            <w:noWrap/>
            <w:vAlign w:val="bottom"/>
            <w:hideMark/>
          </w:tcPr>
          <w:p w:rsidR="00521E33" w:rsidRPr="00D32300" w:rsidRDefault="00521E33" w:rsidP="009D02B5">
            <w:pPr>
              <w:pStyle w:val="TableText"/>
              <w:jc w:val="center"/>
            </w:pPr>
            <w:r w:rsidRPr="00D32300">
              <w:t>721.30</w:t>
            </w:r>
          </w:p>
        </w:tc>
        <w:tc>
          <w:tcPr>
            <w:tcW w:w="1170" w:type="dxa"/>
            <w:noWrap/>
            <w:vAlign w:val="bottom"/>
            <w:hideMark/>
          </w:tcPr>
          <w:p w:rsidR="00521E33" w:rsidRPr="00D32300" w:rsidRDefault="00521E33" w:rsidP="009D02B5">
            <w:pPr>
              <w:pStyle w:val="TableText"/>
              <w:jc w:val="center"/>
            </w:pPr>
            <w:r w:rsidRPr="00D32300">
              <w:t>0.45</w:t>
            </w:r>
          </w:p>
        </w:tc>
        <w:tc>
          <w:tcPr>
            <w:tcW w:w="1440" w:type="dxa"/>
            <w:noWrap/>
            <w:vAlign w:val="bottom"/>
            <w:hideMark/>
          </w:tcPr>
          <w:p w:rsidR="00521E33" w:rsidRPr="00D32300" w:rsidRDefault="00521E33" w:rsidP="009D02B5">
            <w:pPr>
              <w:pStyle w:val="TableText"/>
              <w:jc w:val="center"/>
            </w:pPr>
            <w:r w:rsidRPr="00D32300">
              <w:t>65.4%</w:t>
            </w:r>
          </w:p>
        </w:tc>
      </w:tr>
      <w:tr w:rsidR="00D32300" w:rsidRPr="00D32300" w:rsidTr="009D02B5">
        <w:tc>
          <w:tcPr>
            <w:tcW w:w="990" w:type="dxa"/>
            <w:vAlign w:val="bottom"/>
            <w:hideMark/>
          </w:tcPr>
          <w:p w:rsidR="00521E33" w:rsidRPr="00D32300" w:rsidRDefault="00521E33" w:rsidP="00D32300">
            <w:pPr>
              <w:pStyle w:val="TableText"/>
              <w:rPr>
                <w:bCs/>
              </w:rPr>
            </w:pPr>
            <w:r w:rsidRPr="00D32300">
              <w:rPr>
                <w:bCs/>
              </w:rPr>
              <w:t>Total</w:t>
            </w:r>
          </w:p>
        </w:tc>
        <w:tc>
          <w:tcPr>
            <w:tcW w:w="1124" w:type="dxa"/>
            <w:noWrap/>
            <w:vAlign w:val="bottom"/>
            <w:hideMark/>
          </w:tcPr>
          <w:p w:rsidR="00521E33" w:rsidRPr="00D32300" w:rsidRDefault="00521E33" w:rsidP="00D32300">
            <w:pPr>
              <w:pStyle w:val="TableText"/>
              <w:rPr>
                <w:bCs/>
              </w:rPr>
            </w:pPr>
          </w:p>
        </w:tc>
        <w:tc>
          <w:tcPr>
            <w:tcW w:w="1080" w:type="dxa"/>
            <w:noWrap/>
            <w:vAlign w:val="bottom"/>
            <w:hideMark/>
          </w:tcPr>
          <w:p w:rsidR="00521E33" w:rsidRPr="00D32300" w:rsidRDefault="00521E33" w:rsidP="009D02B5">
            <w:pPr>
              <w:pStyle w:val="TableText"/>
              <w:jc w:val="center"/>
              <w:rPr>
                <w:bCs/>
              </w:rPr>
            </w:pPr>
            <w:r w:rsidRPr="00D32300">
              <w:rPr>
                <w:bCs/>
              </w:rPr>
              <w:t>1,819</w:t>
            </w:r>
          </w:p>
        </w:tc>
        <w:tc>
          <w:tcPr>
            <w:tcW w:w="1170" w:type="dxa"/>
            <w:noWrap/>
            <w:vAlign w:val="bottom"/>
            <w:hideMark/>
          </w:tcPr>
          <w:p w:rsidR="00521E33" w:rsidRPr="00D32300" w:rsidRDefault="00521E33" w:rsidP="009D02B5">
            <w:pPr>
              <w:pStyle w:val="TableText"/>
              <w:jc w:val="center"/>
              <w:rPr>
                <w:bCs/>
              </w:rPr>
            </w:pPr>
            <w:r w:rsidRPr="00D32300">
              <w:rPr>
                <w:bCs/>
              </w:rPr>
              <w:t>3,421</w:t>
            </w:r>
          </w:p>
        </w:tc>
        <w:tc>
          <w:tcPr>
            <w:tcW w:w="1170" w:type="dxa"/>
            <w:noWrap/>
            <w:vAlign w:val="bottom"/>
            <w:hideMark/>
          </w:tcPr>
          <w:p w:rsidR="00521E33" w:rsidRPr="00D32300" w:rsidRDefault="00521E33" w:rsidP="009D02B5">
            <w:pPr>
              <w:pStyle w:val="TableText"/>
              <w:jc w:val="center"/>
              <w:rPr>
                <w:bCs/>
              </w:rPr>
            </w:pPr>
            <w:r w:rsidRPr="00D32300">
              <w:rPr>
                <w:bCs/>
              </w:rPr>
              <w:t>29,990</w:t>
            </w:r>
          </w:p>
        </w:tc>
        <w:tc>
          <w:tcPr>
            <w:tcW w:w="1620" w:type="dxa"/>
            <w:noWrap/>
            <w:vAlign w:val="bottom"/>
            <w:hideMark/>
          </w:tcPr>
          <w:p w:rsidR="00521E33" w:rsidRPr="00D32300" w:rsidRDefault="00521E33" w:rsidP="009D02B5">
            <w:pPr>
              <w:pStyle w:val="TableText"/>
              <w:jc w:val="center"/>
              <w:rPr>
                <w:bCs/>
              </w:rPr>
            </w:pPr>
          </w:p>
        </w:tc>
        <w:tc>
          <w:tcPr>
            <w:tcW w:w="1391" w:type="dxa"/>
            <w:noWrap/>
            <w:vAlign w:val="bottom"/>
            <w:hideMark/>
          </w:tcPr>
          <w:p w:rsidR="00521E33" w:rsidRPr="00D32300" w:rsidRDefault="00521E33" w:rsidP="009D02B5">
            <w:pPr>
              <w:pStyle w:val="TableText"/>
              <w:jc w:val="center"/>
              <w:rPr>
                <w:bCs/>
              </w:rPr>
            </w:pPr>
            <w:r w:rsidRPr="00D32300">
              <w:rPr>
                <w:bCs/>
              </w:rPr>
              <w:t>440,216,270</w:t>
            </w:r>
          </w:p>
        </w:tc>
        <w:tc>
          <w:tcPr>
            <w:tcW w:w="1440" w:type="dxa"/>
            <w:vAlign w:val="bottom"/>
            <w:hideMark/>
          </w:tcPr>
          <w:p w:rsidR="00521E33" w:rsidRPr="00D32300" w:rsidRDefault="00521E33" w:rsidP="009D02B5">
            <w:pPr>
              <w:pStyle w:val="TableText"/>
              <w:jc w:val="center"/>
              <w:rPr>
                <w:bCs/>
              </w:rPr>
            </w:pPr>
            <w:r w:rsidRPr="00D32300">
              <w:rPr>
                <w:bCs/>
              </w:rPr>
              <w:t>272,580</w:t>
            </w:r>
          </w:p>
        </w:tc>
        <w:tc>
          <w:tcPr>
            <w:tcW w:w="1260" w:type="dxa"/>
            <w:noWrap/>
            <w:vAlign w:val="bottom"/>
            <w:hideMark/>
          </w:tcPr>
          <w:p w:rsidR="00521E33" w:rsidRPr="00D32300" w:rsidRDefault="00521E33" w:rsidP="009D02B5">
            <w:pPr>
              <w:pStyle w:val="TableText"/>
              <w:jc w:val="center"/>
              <w:rPr>
                <w:bCs/>
              </w:rPr>
            </w:pPr>
            <w:r w:rsidRPr="00D32300">
              <w:rPr>
                <w:bCs/>
              </w:rPr>
              <w:t>20,595</w:t>
            </w:r>
          </w:p>
        </w:tc>
        <w:tc>
          <w:tcPr>
            <w:tcW w:w="1170" w:type="dxa"/>
            <w:noWrap/>
            <w:vAlign w:val="bottom"/>
            <w:hideMark/>
          </w:tcPr>
          <w:p w:rsidR="00521E33" w:rsidRPr="00D32300" w:rsidRDefault="00521E33" w:rsidP="009D02B5">
            <w:pPr>
              <w:pStyle w:val="TableText"/>
              <w:jc w:val="center"/>
              <w:rPr>
                <w:bCs/>
              </w:rPr>
            </w:pPr>
            <w:r w:rsidRPr="00D32300">
              <w:rPr>
                <w:bCs/>
              </w:rPr>
              <w:t>12.75</w:t>
            </w:r>
          </w:p>
        </w:tc>
        <w:tc>
          <w:tcPr>
            <w:tcW w:w="1440" w:type="dxa"/>
            <w:noWrap/>
            <w:vAlign w:val="bottom"/>
            <w:hideMark/>
          </w:tcPr>
          <w:p w:rsidR="00521E33" w:rsidRPr="00D32300" w:rsidRDefault="00521E33" w:rsidP="009D02B5">
            <w:pPr>
              <w:pStyle w:val="TableText"/>
              <w:jc w:val="center"/>
              <w:rPr>
                <w:bCs/>
              </w:rPr>
            </w:pPr>
            <w:r w:rsidRPr="00D32300">
              <w:rPr>
                <w:bCs/>
              </w:rPr>
              <w:t>53.2%</w:t>
            </w:r>
          </w:p>
        </w:tc>
      </w:tr>
    </w:tbl>
    <w:p w:rsidR="00521E33" w:rsidRDefault="00521E33" w:rsidP="00521E13"/>
    <w:sectPr w:rsidR="00521E33" w:rsidSect="00521E13">
      <w:footerReference w:type="default" r:id="rId25"/>
      <w:pgSz w:w="15840" w:h="12240" w:orient="landscape" w:code="1"/>
      <w:pgMar w:top="1440" w:right="1440" w:bottom="2160" w:left="1440" w:header="720" w:footer="3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088" w:rsidRDefault="005E6088">
      <w:r>
        <w:separator/>
      </w:r>
    </w:p>
    <w:p w:rsidR="005E6088" w:rsidRDefault="005E6088"/>
  </w:endnote>
  <w:endnote w:type="continuationSeparator" w:id="0">
    <w:p w:rsidR="005E6088" w:rsidRDefault="005E6088">
      <w:r>
        <w:continuationSeparator/>
      </w:r>
    </w:p>
    <w:p w:rsidR="005E6088" w:rsidRDefault="005E60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NeueLT Std">
    <w:panose1 w:val="00000000000000000000"/>
    <w:charset w:val="00"/>
    <w:family w:val="swiss"/>
    <w:notTrueType/>
    <w:pitch w:val="variable"/>
    <w:sig w:usb0="800000AF" w:usb1="4000204A" w:usb2="00000000" w:usb3="00000000" w:csb0="00000001" w:csb1="00000000"/>
  </w:font>
  <w:font w:name="MinioMM_485 SB 585 NO 11 OP">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NeueLT Std Med">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17E" w:rsidRDefault="000C417E">
    <w:pPr>
      <w:pStyle w:val="Footer"/>
    </w:pPr>
    <w:r>
      <w:rPr>
        <w:noProof/>
      </w:rPr>
      <mc:AlternateContent>
        <mc:Choice Requires="wps">
          <w:drawing>
            <wp:anchor distT="0" distB="0" distL="114300" distR="114300" simplePos="0" relativeHeight="251656704" behindDoc="0" locked="0" layoutInCell="1" allowOverlap="1" wp14:anchorId="1FF1D5F0" wp14:editId="1BA924B1">
              <wp:simplePos x="0" y="0"/>
              <wp:positionH relativeFrom="column">
                <wp:posOffset>-126365</wp:posOffset>
              </wp:positionH>
              <wp:positionV relativeFrom="paragraph">
                <wp:posOffset>-104140</wp:posOffset>
              </wp:positionV>
              <wp:extent cx="2059940" cy="231140"/>
              <wp:effectExtent l="0" t="0" r="0" b="0"/>
              <wp:wrapSquare wrapText="bothSides"/>
              <wp:docPr id="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940"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417E" w:rsidRPr="00483206" w:rsidRDefault="000C417E" w:rsidP="00433734">
                          <w:pPr>
                            <w:rPr>
                              <w:rFonts w:ascii="HelveticaNeueLT Std Med" w:hAnsi="HelveticaNeueLT Std Med"/>
                              <w:b/>
                              <w:color w:val="2B5A85"/>
                              <w:sz w:val="19"/>
                              <w:szCs w:val="19"/>
                            </w:rPr>
                          </w:pPr>
                          <w:proofErr w:type="gramStart"/>
                          <w:r w:rsidRPr="00483206">
                            <w:rPr>
                              <w:rFonts w:ascii="HelveticaNeueLT Std Med" w:hAnsi="HelveticaNeueLT Std Med"/>
                              <w:b/>
                              <w:color w:val="2B5A85"/>
                              <w:sz w:val="19"/>
                              <w:szCs w:val="19"/>
                            </w:rPr>
                            <w:t>DAI</w:t>
                          </w:r>
                          <w:r w:rsidRPr="00483206">
                            <w:rPr>
                              <w:rFonts w:ascii="HelveticaNeueLT Std" w:hAnsi="HelveticaNeueLT Std"/>
                              <w:color w:val="2B5A85"/>
                              <w:sz w:val="19"/>
                              <w:szCs w:val="19"/>
                            </w:rPr>
                            <w:t xml:space="preserve"> </w:t>
                          </w:r>
                          <w:r>
                            <w:rPr>
                              <w:rFonts w:ascii="HelveticaNeueLT Std" w:hAnsi="HelveticaNeueLT Std"/>
                              <w:color w:val="2B5A85"/>
                              <w:sz w:val="19"/>
                              <w:szCs w:val="19"/>
                            </w:rPr>
                            <w:t xml:space="preserve"> </w:t>
                          </w:r>
                          <w:r w:rsidRPr="00353482">
                            <w:rPr>
                              <w:rFonts w:ascii="HelveticaNeueLT Std" w:hAnsi="HelveticaNeueLT Std"/>
                              <w:color w:val="2B5A85"/>
                              <w:sz w:val="19"/>
                              <w:szCs w:val="19"/>
                            </w:rPr>
                            <w:t>Shaping</w:t>
                          </w:r>
                          <w:proofErr w:type="gramEnd"/>
                          <w:r w:rsidRPr="00353482">
                            <w:rPr>
                              <w:rFonts w:ascii="HelveticaNeueLT Std" w:hAnsi="HelveticaNeueLT Std"/>
                              <w:color w:val="2B5A85"/>
                              <w:sz w:val="19"/>
                              <w:szCs w:val="19"/>
                            </w:rPr>
                            <w:t xml:space="preserve"> a more livable world.</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27" type="#_x0000_t202" style="position:absolute;left:0;text-align:left;margin-left:-9.95pt;margin-top:-8.2pt;width:162.2pt;height:18.2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hq3sQIAALgFAAAOAAAAZHJzL2Uyb0RvYy54bWysVNtu2zAMfR+wfxD07voy5WKjTtHG8TCg&#10;uwDtPkCR5ViYLRmSGrsb9u+j5CRNWwwYtvnBkETqkIc84uXV2LVoz7URSuY4vogw4pKpSshdjr/e&#10;l8ESI2OprGirJM/xIzf4avX2zeXQZzxRjWorrhGASJMNfY4ba/ssDA1reEfNheq5BGOtdEctbPUu&#10;rDQdAL1rwySK5uGgdNVrxbgxcFpMRrzy+HXNmf1c14Zb1OYYcrP+r/1/6/7h6pJmO037RrBDGvQv&#10;suiokBD0BFVQS9GDFq+gOsG0Mqq2F0x1oaprwbjnAGzi6AWbu4b23HOB4pj+VCbz/2DZp/0XjUSV&#10;Y4KRpB206J6PFt2oEZHElWfoTQZedz342RHOoc2equlvFftmkFTrhsodv9ZaDQ2nFaQXu5vh2dUJ&#10;xziQ7fBRVRCHPljlgcZad652UA0E6NCmx1NrXC4MDpNolqYETAxsybs4hrULQbPj7V4b+56rDrlF&#10;jjW03qPT/a2xk+vRxQWTqhRtC+c0a+WzA8CcTiA2XHU2l4Xv5o80SjfLzZIEJJlvAhIVRXBdrkkw&#10;L+PFrHhXrNdF/NPFjUnWiKri0oU5Kismf9a5g8YnTZy0ZVQrKgfnUjJ6t123Gu0pKLv036EgZ27h&#10;8zR8vYDLC0pxQqKbJA3K+XIRkJLMgnQRLYMoTm/SeURSUpTPKd0Kyf+dEhpynM6S2SSm33KL/Pea&#10;G806YWF2tKLL8fLkRDMnwY2sfGstFe20PiuFS/+pFNDuY6O9YJ1GJ7XacTsCilPxVlWPIF2tQFkg&#10;Qhh4sGiU/o7RAMMjxxKmG0btBwniT2PilGr9hswWCWz0uWV7bqGSAVCOLUbTcm2n+fTQa7FrIM70&#10;3KS6hgdTC6/lp5wOzwzGg6d0GGVu/pzvvdfTwF39AgAA//8DAFBLAwQUAAYACAAAACEA6lEfouIA&#10;AAAKAQAADwAAAGRycy9kb3ducmV2LnhtbEyPwU7DMAyG70i8Q2QkLmhL241pK00nBIIL0xAbB45p&#10;Y9pC41RN1hWeft4Jbrb86f8/Z+vRtmLA3jeOFMTTCARS6UxDlYL3/dNkCcIHTUa3jlDBD3pY55cX&#10;mU6NO9IbDrtQCQ4hn2oFdQhdKqUva7TaT12HxLdP11sdeO0raXp95HDbyiSKFtLqhrih1h0+1Fh+&#10;7w5Wwe9rv3FJsnmOi49ZM4THm6/ty1ap66vx/g5EwDH8wXDWZ3XI2alwBzJetAom8WrF6HlYzEEw&#10;MYvmtyAKBVwMMs/k/xfyEwAAAP//AwBQSwECLQAUAAYACAAAACEAtoM4kv4AAADhAQAAEwAAAAAA&#10;AAAAAAAAAAAAAAAAW0NvbnRlbnRfVHlwZXNdLnhtbFBLAQItABQABgAIAAAAIQA4/SH/1gAAAJQB&#10;AAALAAAAAAAAAAAAAAAAAC8BAABfcmVscy8ucmVsc1BLAQItABQABgAIAAAAIQAF5hq3sQIAALgF&#10;AAAOAAAAAAAAAAAAAAAAAC4CAABkcnMvZTJvRG9jLnhtbFBLAQItABQABgAIAAAAIQDqUR+i4gAA&#10;AAoBAAAPAAAAAAAAAAAAAAAAAAsFAABkcnMvZG93bnJldi54bWxQSwUGAAAAAAQABADzAAAAGgYA&#10;AAAA&#10;" filled="f" stroked="f">
              <v:textbox>
                <w:txbxContent>
                  <w:p w:rsidR="000C417E" w:rsidRPr="00483206" w:rsidRDefault="000C417E" w:rsidP="00433734">
                    <w:pPr>
                      <w:rPr>
                        <w:rFonts w:ascii="HelveticaNeueLT Std Med" w:hAnsi="HelveticaNeueLT Std Med"/>
                        <w:b/>
                        <w:color w:val="2B5A85"/>
                        <w:sz w:val="19"/>
                        <w:szCs w:val="19"/>
                      </w:rPr>
                    </w:pPr>
                    <w:proofErr w:type="gramStart"/>
                    <w:r w:rsidRPr="00483206">
                      <w:rPr>
                        <w:rFonts w:ascii="HelveticaNeueLT Std Med" w:hAnsi="HelveticaNeueLT Std Med"/>
                        <w:b/>
                        <w:color w:val="2B5A85"/>
                        <w:sz w:val="19"/>
                        <w:szCs w:val="19"/>
                      </w:rPr>
                      <w:t>DAI</w:t>
                    </w:r>
                    <w:r w:rsidRPr="00483206">
                      <w:rPr>
                        <w:rFonts w:ascii="HelveticaNeueLT Std" w:hAnsi="HelveticaNeueLT Std"/>
                        <w:color w:val="2B5A85"/>
                        <w:sz w:val="19"/>
                        <w:szCs w:val="19"/>
                      </w:rPr>
                      <w:t xml:space="preserve"> </w:t>
                    </w:r>
                    <w:r>
                      <w:rPr>
                        <w:rFonts w:ascii="HelveticaNeueLT Std" w:hAnsi="HelveticaNeueLT Std"/>
                        <w:color w:val="2B5A85"/>
                        <w:sz w:val="19"/>
                        <w:szCs w:val="19"/>
                      </w:rPr>
                      <w:t xml:space="preserve"> </w:t>
                    </w:r>
                    <w:r w:rsidRPr="00353482">
                      <w:rPr>
                        <w:rFonts w:ascii="HelveticaNeueLT Std" w:hAnsi="HelveticaNeueLT Std"/>
                        <w:color w:val="2B5A85"/>
                        <w:sz w:val="19"/>
                        <w:szCs w:val="19"/>
                      </w:rPr>
                      <w:t>Shaping</w:t>
                    </w:r>
                    <w:proofErr w:type="gramEnd"/>
                    <w:r w:rsidRPr="00353482">
                      <w:rPr>
                        <w:rFonts w:ascii="HelveticaNeueLT Std" w:hAnsi="HelveticaNeueLT Std"/>
                        <w:color w:val="2B5A85"/>
                        <w:sz w:val="19"/>
                        <w:szCs w:val="19"/>
                      </w:rPr>
                      <w:t xml:space="preserve"> a more livable world.</w:t>
                    </w:r>
                  </w:p>
                </w:txbxContent>
              </v:textbox>
              <w10:wrap type="square"/>
            </v:shape>
          </w:pict>
        </mc:Fallback>
      </mc:AlternateContent>
    </w:r>
    <w:r>
      <w:rPr>
        <w:noProof/>
      </w:rPr>
      <mc:AlternateContent>
        <mc:Choice Requires="wpg">
          <w:drawing>
            <wp:anchor distT="0" distB="0" distL="114300" distR="114300" simplePos="0" relativeHeight="251655680" behindDoc="0" locked="0" layoutInCell="1" allowOverlap="1" wp14:anchorId="42F15F3C" wp14:editId="40DF5ED5">
              <wp:simplePos x="0" y="0"/>
              <wp:positionH relativeFrom="column">
                <wp:posOffset>3853180</wp:posOffset>
              </wp:positionH>
              <wp:positionV relativeFrom="paragraph">
                <wp:posOffset>-69215</wp:posOffset>
              </wp:positionV>
              <wp:extent cx="2256155" cy="685800"/>
              <wp:effectExtent l="0" t="0" r="0" b="0"/>
              <wp:wrapSquare wrapText="bothSides"/>
              <wp:docPr id="1"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6155" cy="685800"/>
                        <a:chOff x="4010" y="4684"/>
                        <a:chExt cx="3553" cy="1080"/>
                      </a:xfrm>
                    </wpg:grpSpPr>
                    <wps:wsp>
                      <wps:cNvPr id="2" name="Text Box 40"/>
                      <wps:cNvSpPr txBox="1">
                        <a:spLocks noChangeArrowheads="1"/>
                      </wps:cNvSpPr>
                      <wps:spPr bwMode="auto">
                        <a:xfrm>
                          <a:off x="4010" y="4684"/>
                          <a:ext cx="1583"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417E" w:rsidRPr="00483206" w:rsidRDefault="000C417E" w:rsidP="00433734">
                            <w:pPr>
                              <w:spacing w:after="0" w:line="200" w:lineRule="exact"/>
                              <w:rPr>
                                <w:rFonts w:ascii="HelveticaNeueLT Std" w:hAnsi="HelveticaNeueLT Std"/>
                                <w:color w:val="2B5A85"/>
                                <w:sz w:val="14"/>
                              </w:rPr>
                            </w:pPr>
                            <w:smartTag w:uri="urn:schemas-microsoft-com:office:smarttags" w:element="Street">
                              <w:smartTag w:uri="urn:schemas-microsoft-com:office:smarttags" w:element="address">
                                <w:r w:rsidRPr="00483206">
                                  <w:rPr>
                                    <w:rFonts w:ascii="HelveticaNeueLT Std" w:hAnsi="HelveticaNeueLT Std"/>
                                    <w:color w:val="2B5A85"/>
                                    <w:sz w:val="14"/>
                                  </w:rPr>
                                  <w:t>7600 Wisconsin Avenue</w:t>
                                </w:r>
                              </w:smartTag>
                            </w:smartTag>
                          </w:p>
                          <w:p w:rsidR="000C417E" w:rsidRPr="00483206" w:rsidRDefault="000C417E" w:rsidP="00433734">
                            <w:pPr>
                              <w:spacing w:after="0" w:line="200" w:lineRule="exact"/>
                              <w:rPr>
                                <w:rFonts w:ascii="HelveticaNeueLT Std" w:hAnsi="HelveticaNeueLT Std"/>
                                <w:color w:val="2B5A85"/>
                                <w:sz w:val="14"/>
                              </w:rPr>
                            </w:pPr>
                            <w:smartTag w:uri="urn:schemas-microsoft-com:office:smarttags" w:element="address">
                              <w:smartTag w:uri="urn:schemas-microsoft-com:office:smarttags" w:element="Street">
                                <w:r w:rsidRPr="00483206">
                                  <w:rPr>
                                    <w:rFonts w:ascii="HelveticaNeueLT Std" w:hAnsi="HelveticaNeueLT Std"/>
                                    <w:color w:val="2B5A85"/>
                                    <w:sz w:val="14"/>
                                  </w:rPr>
                                  <w:t>Suite</w:t>
                                </w:r>
                              </w:smartTag>
                              <w:r w:rsidRPr="00483206">
                                <w:rPr>
                                  <w:rFonts w:ascii="HelveticaNeueLT Std" w:hAnsi="HelveticaNeueLT Std"/>
                                  <w:color w:val="2B5A85"/>
                                  <w:sz w:val="14"/>
                                </w:rPr>
                                <w:t xml:space="preserve"> 200</w:t>
                              </w:r>
                            </w:smartTag>
                          </w:p>
                          <w:p w:rsidR="000C417E" w:rsidRPr="00483206" w:rsidRDefault="000C417E" w:rsidP="00433734">
                            <w:pPr>
                              <w:spacing w:after="0" w:line="200" w:lineRule="exact"/>
                              <w:rPr>
                                <w:rFonts w:ascii="HelveticaNeueLT Std" w:hAnsi="HelveticaNeueLT Std"/>
                                <w:color w:val="2B5A85"/>
                                <w:sz w:val="14"/>
                              </w:rPr>
                            </w:pPr>
                            <w:smartTag w:uri="urn:schemas-microsoft-com:office:smarttags" w:element="place">
                              <w:smartTag w:uri="urn:schemas-microsoft-com:office:smarttags" w:element="City">
                                <w:r w:rsidRPr="00483206">
                                  <w:rPr>
                                    <w:rFonts w:ascii="HelveticaNeueLT Std" w:hAnsi="HelveticaNeueLT Std"/>
                                    <w:color w:val="2B5A85"/>
                                    <w:sz w:val="14"/>
                                  </w:rPr>
                                  <w:t>Bethesda</w:t>
                                </w:r>
                              </w:smartTag>
                              <w:r w:rsidRPr="00483206">
                                <w:rPr>
                                  <w:rFonts w:ascii="HelveticaNeueLT Std" w:hAnsi="HelveticaNeueLT Std"/>
                                  <w:color w:val="2B5A85"/>
                                  <w:sz w:val="14"/>
                                </w:rPr>
                                <w:t xml:space="preserve">, </w:t>
                              </w:r>
                              <w:smartTag w:uri="urn:schemas-microsoft-com:office:smarttags" w:element="State">
                                <w:r w:rsidRPr="00483206">
                                  <w:rPr>
                                    <w:rFonts w:ascii="HelveticaNeueLT Std" w:hAnsi="HelveticaNeueLT Std"/>
                                    <w:color w:val="2B5A85"/>
                                    <w:sz w:val="14"/>
                                  </w:rPr>
                                  <w:t>Maryland</w:t>
                                </w:r>
                              </w:smartTag>
                              <w:r w:rsidRPr="00483206">
                                <w:rPr>
                                  <w:rFonts w:ascii="HelveticaNeueLT Std" w:hAnsi="HelveticaNeueLT Std"/>
                                  <w:color w:val="2B5A85"/>
                                  <w:sz w:val="14"/>
                                </w:rPr>
                                <w:t xml:space="preserve"> </w:t>
                              </w:r>
                              <w:smartTag w:uri="urn:schemas-microsoft-com:office:smarttags" w:element="PostalCode">
                                <w:r w:rsidRPr="00483206">
                                  <w:rPr>
                                    <w:rFonts w:ascii="HelveticaNeueLT Std" w:hAnsi="HelveticaNeueLT Std"/>
                                    <w:color w:val="2B5A85"/>
                                    <w:sz w:val="14"/>
                                  </w:rPr>
                                  <w:t>20814</w:t>
                                </w:r>
                              </w:smartTag>
                              <w:r w:rsidRPr="00483206">
                                <w:rPr>
                                  <w:rFonts w:ascii="HelveticaNeueLT Std" w:hAnsi="HelveticaNeueLT Std"/>
                                  <w:color w:val="2B5A85"/>
                                  <w:sz w:val="14"/>
                                </w:rPr>
                                <w:t xml:space="preserve"> </w:t>
                              </w:r>
                              <w:smartTag w:uri="urn:schemas-microsoft-com:office:smarttags" w:element="country-region">
                                <w:r w:rsidRPr="00483206">
                                  <w:rPr>
                                    <w:rFonts w:ascii="HelveticaNeueLT Std" w:hAnsi="HelveticaNeueLT Std"/>
                                    <w:color w:val="2B5A85"/>
                                    <w:sz w:val="14"/>
                                  </w:rPr>
                                  <w:t>USA</w:t>
                                </w:r>
                              </w:smartTag>
                            </w:smartTag>
                          </w:p>
                        </w:txbxContent>
                      </wps:txbx>
                      <wps:bodyPr rot="0" vert="horz" wrap="square" lIns="0" tIns="0" rIns="0" bIns="0" anchor="t" anchorCtr="0" upright="1">
                        <a:noAutofit/>
                      </wps:bodyPr>
                    </wps:wsp>
                    <wps:wsp>
                      <wps:cNvPr id="3" name="Text Box 41"/>
                      <wps:cNvSpPr txBox="1">
                        <a:spLocks noChangeArrowheads="1"/>
                      </wps:cNvSpPr>
                      <wps:spPr bwMode="auto">
                        <a:xfrm>
                          <a:off x="6123" y="4684"/>
                          <a:ext cx="1440" cy="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417E" w:rsidRPr="00483206" w:rsidRDefault="000C417E" w:rsidP="00433734">
                            <w:pPr>
                              <w:spacing w:after="0" w:line="200" w:lineRule="exact"/>
                              <w:rPr>
                                <w:rFonts w:ascii="HelveticaNeueLT Std" w:hAnsi="HelveticaNeueLT Std"/>
                                <w:color w:val="2B5A85"/>
                                <w:sz w:val="14"/>
                              </w:rPr>
                            </w:pPr>
                            <w:r w:rsidRPr="00483206">
                              <w:rPr>
                                <w:rFonts w:ascii="HelveticaNeueLT Std" w:hAnsi="HelveticaNeueLT Std"/>
                                <w:color w:val="2B5A85"/>
                                <w:sz w:val="14"/>
                              </w:rPr>
                              <w:t>Tel: 301 771 7600</w:t>
                            </w:r>
                          </w:p>
                          <w:p w:rsidR="000C417E" w:rsidRPr="00483206" w:rsidRDefault="000C417E" w:rsidP="00433734">
                            <w:pPr>
                              <w:spacing w:after="0" w:line="200" w:lineRule="exact"/>
                              <w:rPr>
                                <w:rFonts w:ascii="HelveticaNeueLT Std" w:hAnsi="HelveticaNeueLT Std"/>
                                <w:color w:val="2B5A85"/>
                                <w:sz w:val="14"/>
                              </w:rPr>
                            </w:pPr>
                            <w:r w:rsidRPr="00483206">
                              <w:rPr>
                                <w:rFonts w:ascii="HelveticaNeueLT Std" w:hAnsi="HelveticaNeueLT Std"/>
                                <w:color w:val="2B5A85"/>
                                <w:sz w:val="14"/>
                              </w:rPr>
                              <w:t>Fax: 301 771 7777</w:t>
                            </w:r>
                          </w:p>
                          <w:p w:rsidR="000C417E" w:rsidRPr="00483206" w:rsidRDefault="000C417E" w:rsidP="00433734">
                            <w:pPr>
                              <w:spacing w:after="0" w:line="200" w:lineRule="exact"/>
                              <w:rPr>
                                <w:rFonts w:ascii="HelveticaNeueLT Std" w:hAnsi="HelveticaNeueLT Std"/>
                                <w:color w:val="2B5A85"/>
                                <w:sz w:val="14"/>
                              </w:rPr>
                            </w:pPr>
                            <w:r w:rsidRPr="00483206">
                              <w:rPr>
                                <w:rFonts w:ascii="HelveticaNeueLT Std" w:hAnsi="HelveticaNeueLT Std"/>
                                <w:color w:val="2B5A85"/>
                                <w:sz w:val="14"/>
                              </w:rPr>
                              <w:t>www.dai.com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 o:spid="_x0000_s1028" style="position:absolute;left:0;text-align:left;margin-left:303.4pt;margin-top:-5.45pt;width:177.65pt;height:54pt;z-index:251655680" coordorigin="4010,4684" coordsize="3553,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snDbQMAADALAAAOAAAAZHJzL2Uyb0RvYy54bWzsVttu3DYQfS+QfyD4LutiSZYEy4G9F6OA&#10;2wZI+gFciZKISKRKcq11g/57h6R2Za9btEmAIA/Rg0BxyOHMmTlHvH57GHr0SKVigpc4vAgworwS&#10;NeNtiX//sPUyjJQmvCa94LTET1ThtzdvfrqexoJGohN9TSUCJ1wV01jiTuux8H1VdXQg6kKMlIOx&#10;EXIgGj5l69eSTOB96P0oCFJ/ErIepaioUjC7dkZ8Y/03Da30b02jqEZ9iSE2bd/Svnfm7d9ck6KV&#10;ZOxYNYdBviCKgTAOh55crYkmaC/ZK1cDq6RQotEXlRh80TSsojYHyCYMzrK5l2I/2lzaYmrHE0wA&#10;7RlOX+y2+vXxnUSshtphxMkAJbKnosvcYDONbQFL7uX4fnwnXYIwfBDVRwVm/9xuvlu3GO2mX0QN&#10;/sheC4vNoZGDcQFZo4MtwdOpBPSgUQWTUZSkYZJgVIEtzZIsmGtUdVBIsy0GnDACa5xmsatf1W3m&#10;7ZdJcun2hkFmd/qkcOfaWOfYTGLQb2qBVH0dpO87MlJbKWXwmiGNjpB+MOndiQOKbUzmcFhlIEX6&#10;APMGfYOMcsgiLlYd4S29lVJMHSU1hBeaXCGJ01aXhDJO/gvqf8DsCHiYZP+GGClGqfQ9FQMygxJL&#10;oJONkzw+KG3CWZaY8LnYsr6HeVL0/MUELHQzcCxsNTYTgGXIpzzIN9kmi704SjdeHKzX3u12FXvp&#10;NrxK1pfr1Wod/mXODeOiY3VNuTnmyNYw/n+lm3XD8ezEVyV6Vht3JiQl292ql+iRgFps7WNBB8uy&#10;zH8ZhgUBcjlLKYzi4C7KvW2aXXnxNk68/CrIvCDM7/I0iPN4vX2Z0gPj9OtTQlOJ8yRKXDctQZ/l&#10;FtjndW6kGJgGPe7ZUGKgHjyOYaYHN7y2pdWE9W78DAoT/gIFlPtYaNuxpkldu+rD7jDLDTgz3bwT&#10;9RO0sBTQYEBs+JfAoBPyT4wm0OUSqz/2RFKM+p850MCI+HEgj4PdcUB4BVtLrDFyw5V2Yr8fJWs7&#10;8OyIxsUtqFLDbBMvUcwEA2H4RgoB1HOiuyiE5fkzmn8bhUjDCGJ5oaqGoEaSwxhUy+pxkidzzxyl&#10;/IdAvCbRM1Y4YXFs+CEQnycQkUF2oeb3JxD2QgHXMit78xXS3Puef1tBWS66N38DAAD//wMAUEsD&#10;BBQABgAIAAAAIQCfg3Bg4QAAAAoBAAAPAAAAZHJzL2Rvd25yZXYueG1sTI9BS8NAEIXvgv9hGcFb&#10;u7sVo43ZlFLUUxHaCuJtm0yT0OxsyG6T9N87nvQ2j3m8971sNblWDNiHxpMBPVcgkApfNlQZ+Dy8&#10;zZ5BhGiptK0nNHDFAKv89iazaelH2uGwj5XgEAqpNVDH2KVShqJGZ8Pcd0j8O/ne2ciyr2TZ25HD&#10;XSsXSiXS2Ya4obYdbmoszvuLM/A+2nH9oF+H7fm0uX4fHj++thqNub+b1i8gIk7xzwy/+IwOOTMd&#10;/YXKIFoDiUoYPRqYabUEwY5lstAgjnw8aZB5Jv9PyH8AAAD//wMAUEsBAi0AFAAGAAgAAAAhALaD&#10;OJL+AAAA4QEAABMAAAAAAAAAAAAAAAAAAAAAAFtDb250ZW50X1R5cGVzXS54bWxQSwECLQAUAAYA&#10;CAAAACEAOP0h/9YAAACUAQAACwAAAAAAAAAAAAAAAAAvAQAAX3JlbHMvLnJlbHNQSwECLQAUAAYA&#10;CAAAACEAG27Jw20DAAAwCwAADgAAAAAAAAAAAAAAAAAuAgAAZHJzL2Uyb0RvYy54bWxQSwECLQAU&#10;AAYACAAAACEAn4NwYOEAAAAKAQAADwAAAAAAAAAAAAAAAADHBQAAZHJzL2Rvd25yZXYueG1sUEsF&#10;BgAAAAAEAAQA8wAAANUGAAAAAA==&#10;">
              <v:shape id="Text Box 40" o:spid="_x0000_s1029" type="#_x0000_t202" style="position:absolute;left:4010;top:4684;width:1583;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0C417E" w:rsidRPr="00483206" w:rsidRDefault="000C417E" w:rsidP="00433734">
                      <w:pPr>
                        <w:spacing w:after="0" w:line="200" w:lineRule="exact"/>
                        <w:rPr>
                          <w:rFonts w:ascii="HelveticaNeueLT Std" w:hAnsi="HelveticaNeueLT Std"/>
                          <w:color w:val="2B5A85"/>
                          <w:sz w:val="14"/>
                        </w:rPr>
                      </w:pPr>
                      <w:smartTag w:uri="urn:schemas-microsoft-com:office:smarttags" w:element="Street">
                        <w:smartTag w:uri="urn:schemas-microsoft-com:office:smarttags" w:element="address">
                          <w:r w:rsidRPr="00483206">
                            <w:rPr>
                              <w:rFonts w:ascii="HelveticaNeueLT Std" w:hAnsi="HelveticaNeueLT Std"/>
                              <w:color w:val="2B5A85"/>
                              <w:sz w:val="14"/>
                            </w:rPr>
                            <w:t>7600 Wisconsin Avenue</w:t>
                          </w:r>
                        </w:smartTag>
                      </w:smartTag>
                    </w:p>
                    <w:p w:rsidR="000C417E" w:rsidRPr="00483206" w:rsidRDefault="000C417E" w:rsidP="00433734">
                      <w:pPr>
                        <w:spacing w:after="0" w:line="200" w:lineRule="exact"/>
                        <w:rPr>
                          <w:rFonts w:ascii="HelveticaNeueLT Std" w:hAnsi="HelveticaNeueLT Std"/>
                          <w:color w:val="2B5A85"/>
                          <w:sz w:val="14"/>
                        </w:rPr>
                      </w:pPr>
                      <w:smartTag w:uri="urn:schemas-microsoft-com:office:smarttags" w:element="address">
                        <w:smartTag w:uri="urn:schemas-microsoft-com:office:smarttags" w:element="Street">
                          <w:r w:rsidRPr="00483206">
                            <w:rPr>
                              <w:rFonts w:ascii="HelveticaNeueLT Std" w:hAnsi="HelveticaNeueLT Std"/>
                              <w:color w:val="2B5A85"/>
                              <w:sz w:val="14"/>
                            </w:rPr>
                            <w:t>Suite</w:t>
                          </w:r>
                        </w:smartTag>
                        <w:r w:rsidRPr="00483206">
                          <w:rPr>
                            <w:rFonts w:ascii="HelveticaNeueLT Std" w:hAnsi="HelveticaNeueLT Std"/>
                            <w:color w:val="2B5A85"/>
                            <w:sz w:val="14"/>
                          </w:rPr>
                          <w:t xml:space="preserve"> 200</w:t>
                        </w:r>
                      </w:smartTag>
                    </w:p>
                    <w:p w:rsidR="000C417E" w:rsidRPr="00483206" w:rsidRDefault="000C417E" w:rsidP="00433734">
                      <w:pPr>
                        <w:spacing w:after="0" w:line="200" w:lineRule="exact"/>
                        <w:rPr>
                          <w:rFonts w:ascii="HelveticaNeueLT Std" w:hAnsi="HelveticaNeueLT Std"/>
                          <w:color w:val="2B5A85"/>
                          <w:sz w:val="14"/>
                        </w:rPr>
                      </w:pPr>
                      <w:smartTag w:uri="urn:schemas-microsoft-com:office:smarttags" w:element="place">
                        <w:smartTag w:uri="urn:schemas-microsoft-com:office:smarttags" w:element="City">
                          <w:r w:rsidRPr="00483206">
                            <w:rPr>
                              <w:rFonts w:ascii="HelveticaNeueLT Std" w:hAnsi="HelveticaNeueLT Std"/>
                              <w:color w:val="2B5A85"/>
                              <w:sz w:val="14"/>
                            </w:rPr>
                            <w:t>Bethesda</w:t>
                          </w:r>
                        </w:smartTag>
                        <w:r w:rsidRPr="00483206">
                          <w:rPr>
                            <w:rFonts w:ascii="HelveticaNeueLT Std" w:hAnsi="HelveticaNeueLT Std"/>
                            <w:color w:val="2B5A85"/>
                            <w:sz w:val="14"/>
                          </w:rPr>
                          <w:t xml:space="preserve">, </w:t>
                        </w:r>
                        <w:smartTag w:uri="urn:schemas-microsoft-com:office:smarttags" w:element="State">
                          <w:r w:rsidRPr="00483206">
                            <w:rPr>
                              <w:rFonts w:ascii="HelveticaNeueLT Std" w:hAnsi="HelveticaNeueLT Std"/>
                              <w:color w:val="2B5A85"/>
                              <w:sz w:val="14"/>
                            </w:rPr>
                            <w:t>Maryland</w:t>
                          </w:r>
                        </w:smartTag>
                        <w:r w:rsidRPr="00483206">
                          <w:rPr>
                            <w:rFonts w:ascii="HelveticaNeueLT Std" w:hAnsi="HelveticaNeueLT Std"/>
                            <w:color w:val="2B5A85"/>
                            <w:sz w:val="14"/>
                          </w:rPr>
                          <w:t xml:space="preserve"> </w:t>
                        </w:r>
                        <w:smartTag w:uri="urn:schemas-microsoft-com:office:smarttags" w:element="PostalCode">
                          <w:r w:rsidRPr="00483206">
                            <w:rPr>
                              <w:rFonts w:ascii="HelveticaNeueLT Std" w:hAnsi="HelveticaNeueLT Std"/>
                              <w:color w:val="2B5A85"/>
                              <w:sz w:val="14"/>
                            </w:rPr>
                            <w:t>20814</w:t>
                          </w:r>
                        </w:smartTag>
                        <w:r w:rsidRPr="00483206">
                          <w:rPr>
                            <w:rFonts w:ascii="HelveticaNeueLT Std" w:hAnsi="HelveticaNeueLT Std"/>
                            <w:color w:val="2B5A85"/>
                            <w:sz w:val="14"/>
                          </w:rPr>
                          <w:t xml:space="preserve"> </w:t>
                        </w:r>
                        <w:smartTag w:uri="urn:schemas-microsoft-com:office:smarttags" w:element="country-region">
                          <w:r w:rsidRPr="00483206">
                            <w:rPr>
                              <w:rFonts w:ascii="HelveticaNeueLT Std" w:hAnsi="HelveticaNeueLT Std"/>
                              <w:color w:val="2B5A85"/>
                              <w:sz w:val="14"/>
                            </w:rPr>
                            <w:t>USA</w:t>
                          </w:r>
                        </w:smartTag>
                      </w:smartTag>
                    </w:p>
                  </w:txbxContent>
                </v:textbox>
              </v:shape>
              <v:shape id="Text Box 41" o:spid="_x0000_s1030" type="#_x0000_t202" style="position:absolute;left:6123;top:4684;width:1440;height: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0C417E" w:rsidRPr="00483206" w:rsidRDefault="000C417E" w:rsidP="00433734">
                      <w:pPr>
                        <w:spacing w:after="0" w:line="200" w:lineRule="exact"/>
                        <w:rPr>
                          <w:rFonts w:ascii="HelveticaNeueLT Std" w:hAnsi="HelveticaNeueLT Std"/>
                          <w:color w:val="2B5A85"/>
                          <w:sz w:val="14"/>
                        </w:rPr>
                      </w:pPr>
                      <w:r w:rsidRPr="00483206">
                        <w:rPr>
                          <w:rFonts w:ascii="HelveticaNeueLT Std" w:hAnsi="HelveticaNeueLT Std"/>
                          <w:color w:val="2B5A85"/>
                          <w:sz w:val="14"/>
                        </w:rPr>
                        <w:t>Tel: 301 771 7600</w:t>
                      </w:r>
                    </w:p>
                    <w:p w:rsidR="000C417E" w:rsidRPr="00483206" w:rsidRDefault="000C417E" w:rsidP="00433734">
                      <w:pPr>
                        <w:spacing w:after="0" w:line="200" w:lineRule="exact"/>
                        <w:rPr>
                          <w:rFonts w:ascii="HelveticaNeueLT Std" w:hAnsi="HelveticaNeueLT Std"/>
                          <w:color w:val="2B5A85"/>
                          <w:sz w:val="14"/>
                        </w:rPr>
                      </w:pPr>
                      <w:r w:rsidRPr="00483206">
                        <w:rPr>
                          <w:rFonts w:ascii="HelveticaNeueLT Std" w:hAnsi="HelveticaNeueLT Std"/>
                          <w:color w:val="2B5A85"/>
                          <w:sz w:val="14"/>
                        </w:rPr>
                        <w:t>Fax: 301 771 7777</w:t>
                      </w:r>
                    </w:p>
                    <w:p w:rsidR="000C417E" w:rsidRPr="00483206" w:rsidRDefault="000C417E" w:rsidP="00433734">
                      <w:pPr>
                        <w:spacing w:after="0" w:line="200" w:lineRule="exact"/>
                        <w:rPr>
                          <w:rFonts w:ascii="HelveticaNeueLT Std" w:hAnsi="HelveticaNeueLT Std"/>
                          <w:color w:val="2B5A85"/>
                          <w:sz w:val="14"/>
                        </w:rPr>
                      </w:pPr>
                      <w:r w:rsidRPr="00483206">
                        <w:rPr>
                          <w:rFonts w:ascii="HelveticaNeueLT Std" w:hAnsi="HelveticaNeueLT Std"/>
                          <w:color w:val="2B5A85"/>
                          <w:sz w:val="14"/>
                        </w:rPr>
                        <w:t>www.dai.com</w:t>
                      </w:r>
                    </w:p>
                  </w:txbxContent>
                </v:textbox>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17E" w:rsidRDefault="000C417E" w:rsidP="006E725D">
    <w:pPr>
      <w:pStyle w:val="CoverText2"/>
      <w:ind w:left="-1440"/>
    </w:pPr>
  </w:p>
  <w:p w:rsidR="000C417E" w:rsidRDefault="000C417E" w:rsidP="006E725D">
    <w:pPr>
      <w:pStyle w:val="CoverText2"/>
      <w:ind w:left="-1440"/>
    </w:pPr>
  </w:p>
  <w:p w:rsidR="000C417E" w:rsidRDefault="000C417E" w:rsidP="006E725D">
    <w:pPr>
      <w:pStyle w:val="CoverText2"/>
      <w:ind w:left="-1440"/>
    </w:pPr>
    <w:r>
      <w:t>November 2014</w:t>
    </w:r>
  </w:p>
  <w:p w:rsidR="000C417E" w:rsidRPr="006645CF" w:rsidRDefault="000C417E" w:rsidP="006645CF">
    <w:pPr>
      <w:pStyle w:val="Footer"/>
    </w:pPr>
    <w:r>
      <w:rPr>
        <w:noProof/>
      </w:rPr>
      <w:drawing>
        <wp:anchor distT="0" distB="0" distL="114300" distR="114300" simplePos="0" relativeHeight="251657728" behindDoc="0" locked="0" layoutInCell="1" allowOverlap="1" wp14:anchorId="5445E9A5" wp14:editId="192137BC">
          <wp:simplePos x="0" y="0"/>
          <wp:positionH relativeFrom="column">
            <wp:posOffset>2026285</wp:posOffset>
          </wp:positionH>
          <wp:positionV relativeFrom="paragraph">
            <wp:posOffset>-36830</wp:posOffset>
          </wp:positionV>
          <wp:extent cx="1325880" cy="331470"/>
          <wp:effectExtent l="0" t="0" r="7620" b="0"/>
          <wp:wrapNone/>
          <wp:docPr id="6" name="Picture 6" descr="dai_logo_3c_COATED-jpg-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ai_logo_3c_COATED-jpg-cop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5880" cy="3314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17E" w:rsidRPr="00FB3E85" w:rsidRDefault="000C417E" w:rsidP="0014059C">
    <w:pPr>
      <w:pStyle w:val="Footer"/>
      <w:tabs>
        <w:tab w:val="clear" w:pos="9270"/>
        <w:tab w:val="right" w:pos="9360"/>
      </w:tabs>
      <w:ind w:left="2070" w:hanging="2070"/>
    </w:pPr>
    <w:r w:rsidRPr="003C310E">
      <w:rPr>
        <w:rStyle w:val="FooterPageNumberChar"/>
      </w:rPr>
      <w:fldChar w:fldCharType="begin"/>
    </w:r>
    <w:r w:rsidRPr="003C310E">
      <w:rPr>
        <w:rStyle w:val="FooterPageNumberChar"/>
      </w:rPr>
      <w:instrText xml:space="preserve"> PAGE </w:instrText>
    </w:r>
    <w:r w:rsidRPr="003C310E">
      <w:rPr>
        <w:rStyle w:val="FooterPageNumberChar"/>
      </w:rPr>
      <w:fldChar w:fldCharType="separate"/>
    </w:r>
    <w:r w:rsidR="00C80844">
      <w:rPr>
        <w:rStyle w:val="FooterPageNumberChar"/>
        <w:noProof/>
      </w:rPr>
      <w:t>8</w:t>
    </w:r>
    <w:r w:rsidRPr="003C310E">
      <w:rPr>
        <w:rStyle w:val="FooterPageNumberChar"/>
      </w:rPr>
      <w:fldChar w:fldCharType="end"/>
    </w:r>
    <w:r>
      <w:tab/>
    </w:r>
    <w:r>
      <w:tab/>
    </w:r>
    <w:r w:rsidRPr="00521E33">
      <w:t>Community Savings Groups</w:t>
    </w:r>
    <w:r>
      <w:t>:</w:t>
    </w:r>
    <w:r w:rsidRPr="00521E33">
      <w:t xml:space="preserve"> Evidence of Contributions to Poverty Reduction Among MVC</w:t>
    </w:r>
    <w:r>
      <w:br/>
    </w:r>
    <w:r>
      <w:tab/>
    </w:r>
    <w:r w:rsidRPr="00521E33">
      <w:t>Households in Tanzania</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17E" w:rsidRPr="00583AED" w:rsidRDefault="000C417E" w:rsidP="00583AE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17E" w:rsidRPr="00521E33" w:rsidRDefault="000C417E" w:rsidP="00521E33">
    <w:pPr>
      <w:pStyle w:val="Footer"/>
      <w:tabs>
        <w:tab w:val="clear" w:pos="9270"/>
        <w:tab w:val="right" w:pos="9360"/>
      </w:tabs>
      <w:ind w:left="0"/>
    </w:pPr>
    <w:r w:rsidRPr="00521E33">
      <w:t>Community Savings Groups</w:t>
    </w:r>
    <w:r>
      <w:t>:</w:t>
    </w:r>
    <w:r w:rsidRPr="00521E33">
      <w:t xml:space="preserve"> Evidence of Contributions to Poverty Reduction Among MVC </w:t>
    </w:r>
    <w:r>
      <w:tab/>
    </w:r>
    <w:r w:rsidRPr="003C310E">
      <w:rPr>
        <w:rStyle w:val="FooterPageNumberChar"/>
      </w:rPr>
      <w:fldChar w:fldCharType="begin"/>
    </w:r>
    <w:r w:rsidRPr="003C310E">
      <w:rPr>
        <w:rStyle w:val="FooterPageNumberChar"/>
      </w:rPr>
      <w:instrText xml:space="preserve"> PAGE </w:instrText>
    </w:r>
    <w:r w:rsidRPr="003C310E">
      <w:rPr>
        <w:rStyle w:val="FooterPageNumberChar"/>
      </w:rPr>
      <w:fldChar w:fldCharType="separate"/>
    </w:r>
    <w:r w:rsidR="00C80844">
      <w:rPr>
        <w:rStyle w:val="FooterPageNumberChar"/>
        <w:noProof/>
      </w:rPr>
      <w:t>i</w:t>
    </w:r>
    <w:r w:rsidRPr="003C310E">
      <w:rPr>
        <w:rStyle w:val="FooterPageNumberChar"/>
      </w:rPr>
      <w:fldChar w:fldCharType="end"/>
    </w:r>
    <w:r>
      <w:br/>
    </w:r>
    <w:r w:rsidRPr="00521E33">
      <w:t>Households in Tanzania</w:t>
    </w:r>
    <w:r w:rsidRPr="005C7F8A">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17E" w:rsidRPr="00521E33" w:rsidRDefault="000C417E" w:rsidP="00521E33">
    <w:pPr>
      <w:pStyle w:val="Footer"/>
      <w:tabs>
        <w:tab w:val="clear" w:pos="9270"/>
        <w:tab w:val="right" w:pos="9360"/>
      </w:tabs>
      <w:ind w:left="0"/>
    </w:pPr>
    <w:r w:rsidRPr="00521E33">
      <w:t>Community Savings Groups</w:t>
    </w:r>
    <w:r>
      <w:t>:</w:t>
    </w:r>
    <w:r w:rsidRPr="00521E33">
      <w:t xml:space="preserve"> Evidence of Contributions to Poverty Reduction Among MVC </w:t>
    </w:r>
    <w:r>
      <w:tab/>
    </w:r>
    <w:r w:rsidRPr="003C310E">
      <w:rPr>
        <w:rStyle w:val="FooterPageNumberChar"/>
      </w:rPr>
      <w:fldChar w:fldCharType="begin"/>
    </w:r>
    <w:r w:rsidRPr="003C310E">
      <w:rPr>
        <w:rStyle w:val="FooterPageNumberChar"/>
      </w:rPr>
      <w:instrText xml:space="preserve"> PAGE </w:instrText>
    </w:r>
    <w:r w:rsidRPr="003C310E">
      <w:rPr>
        <w:rStyle w:val="FooterPageNumberChar"/>
      </w:rPr>
      <w:fldChar w:fldCharType="separate"/>
    </w:r>
    <w:r w:rsidR="00C80844">
      <w:rPr>
        <w:rStyle w:val="FooterPageNumberChar"/>
        <w:noProof/>
      </w:rPr>
      <w:t>9</w:t>
    </w:r>
    <w:r w:rsidRPr="003C310E">
      <w:rPr>
        <w:rStyle w:val="FooterPageNumberChar"/>
      </w:rPr>
      <w:fldChar w:fldCharType="end"/>
    </w:r>
    <w:r>
      <w:br/>
    </w:r>
    <w:r w:rsidRPr="00521E33">
      <w:t>Households in Tanzania</w:t>
    </w:r>
    <w:r w:rsidRPr="005C7F8A">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17E" w:rsidRDefault="000C417E" w:rsidP="00D32300">
    <w:pPr>
      <w:pStyle w:val="Footer"/>
      <w:tabs>
        <w:tab w:val="clear" w:pos="9270"/>
        <w:tab w:val="right" w:pos="12150"/>
      </w:tabs>
      <w:ind w:left="2070" w:hanging="2070"/>
    </w:pPr>
    <w:r w:rsidRPr="003C310E">
      <w:rPr>
        <w:rStyle w:val="FooterPageNumberChar"/>
      </w:rPr>
      <w:fldChar w:fldCharType="begin"/>
    </w:r>
    <w:r w:rsidRPr="003C310E">
      <w:rPr>
        <w:rStyle w:val="FooterPageNumberChar"/>
      </w:rPr>
      <w:instrText xml:space="preserve"> PAGE </w:instrText>
    </w:r>
    <w:r w:rsidRPr="003C310E">
      <w:rPr>
        <w:rStyle w:val="FooterPageNumberChar"/>
      </w:rPr>
      <w:fldChar w:fldCharType="separate"/>
    </w:r>
    <w:r w:rsidR="00C80844">
      <w:rPr>
        <w:rStyle w:val="FooterPageNumberChar"/>
        <w:noProof/>
      </w:rPr>
      <w:t>12</w:t>
    </w:r>
    <w:r w:rsidRPr="003C310E">
      <w:rPr>
        <w:rStyle w:val="FooterPageNumberChar"/>
      </w:rPr>
      <w:fldChar w:fldCharType="end"/>
    </w:r>
    <w:r>
      <w:tab/>
    </w:r>
    <w:r>
      <w:tab/>
    </w:r>
    <w:r w:rsidRPr="00521E33">
      <w:t>Community Savings Groups</w:t>
    </w:r>
    <w:r>
      <w:t>:</w:t>
    </w:r>
    <w:r w:rsidRPr="00521E33">
      <w:t xml:space="preserve"> Evidence of Contributions to Poverty Reduction Among MVC</w:t>
    </w:r>
  </w:p>
  <w:p w:rsidR="000C417E" w:rsidRPr="00FB3E85" w:rsidRDefault="000C417E" w:rsidP="00D32300">
    <w:pPr>
      <w:pStyle w:val="Footer"/>
      <w:tabs>
        <w:tab w:val="clear" w:pos="9270"/>
        <w:tab w:val="right" w:pos="8280"/>
        <w:tab w:val="right" w:pos="12150"/>
      </w:tabs>
      <w:ind w:left="7380" w:hanging="2250"/>
    </w:pPr>
    <w:r>
      <w:tab/>
    </w:r>
    <w:r>
      <w:tab/>
    </w:r>
    <w:r>
      <w:tab/>
    </w:r>
    <w:r w:rsidRPr="00521E33">
      <w:t>Households in Tanzania</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17E" w:rsidRPr="00FE2B5A" w:rsidRDefault="000C417E" w:rsidP="00D32300">
    <w:pPr>
      <w:pStyle w:val="Footer"/>
      <w:tabs>
        <w:tab w:val="clear" w:pos="9270"/>
        <w:tab w:val="right" w:pos="12240"/>
      </w:tabs>
      <w:ind w:left="0"/>
      <w:rPr>
        <w:caps/>
      </w:rPr>
    </w:pPr>
    <w:r w:rsidRPr="00521E33">
      <w:t>Community Savings Groups</w:t>
    </w:r>
    <w:r>
      <w:t>:</w:t>
    </w:r>
    <w:r w:rsidRPr="00521E33">
      <w:t xml:space="preserve"> Evidence of Contributions to Poverty Reduction Among MVC </w:t>
    </w:r>
    <w:r>
      <w:tab/>
    </w:r>
    <w:r w:rsidRPr="003C310E">
      <w:rPr>
        <w:rStyle w:val="FooterPageNumberChar"/>
      </w:rPr>
      <w:fldChar w:fldCharType="begin"/>
    </w:r>
    <w:r w:rsidRPr="003C310E">
      <w:rPr>
        <w:rStyle w:val="FooterPageNumberChar"/>
      </w:rPr>
      <w:instrText xml:space="preserve"> PAGE </w:instrText>
    </w:r>
    <w:r w:rsidRPr="003C310E">
      <w:rPr>
        <w:rStyle w:val="FooterPageNumberChar"/>
      </w:rPr>
      <w:fldChar w:fldCharType="separate"/>
    </w:r>
    <w:r w:rsidR="00C80844">
      <w:rPr>
        <w:rStyle w:val="FooterPageNumberChar"/>
        <w:noProof/>
      </w:rPr>
      <w:t>11</w:t>
    </w:r>
    <w:r w:rsidRPr="003C310E">
      <w:rPr>
        <w:rStyle w:val="FooterPageNumberChar"/>
      </w:rPr>
      <w:fldChar w:fldCharType="end"/>
    </w:r>
    <w:r>
      <w:br/>
    </w:r>
    <w:r w:rsidRPr="00521E33">
      <w:t>Households in Tanzania</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17E" w:rsidRPr="00FE2B5A" w:rsidRDefault="000C417E" w:rsidP="008151C5">
    <w:pPr>
      <w:pStyle w:val="Footer"/>
      <w:tabs>
        <w:tab w:val="clear" w:pos="9270"/>
        <w:tab w:val="right" w:pos="12960"/>
      </w:tabs>
      <w:ind w:left="0"/>
      <w:rPr>
        <w:caps/>
      </w:rPr>
    </w:pPr>
    <w:r w:rsidRPr="00521E33">
      <w:t xml:space="preserve">Community Savings Groups – Evidence of Contributions to Poverty Reduction Among MVC </w:t>
    </w:r>
    <w:r>
      <w:tab/>
    </w:r>
    <w:r w:rsidRPr="003C310E">
      <w:rPr>
        <w:rStyle w:val="FooterPageNumberChar"/>
      </w:rPr>
      <w:fldChar w:fldCharType="begin"/>
    </w:r>
    <w:r w:rsidRPr="003C310E">
      <w:rPr>
        <w:rStyle w:val="FooterPageNumberChar"/>
      </w:rPr>
      <w:instrText xml:space="preserve"> PAGE </w:instrText>
    </w:r>
    <w:r w:rsidRPr="003C310E">
      <w:rPr>
        <w:rStyle w:val="FooterPageNumberChar"/>
      </w:rPr>
      <w:fldChar w:fldCharType="separate"/>
    </w:r>
    <w:r w:rsidR="00C80844">
      <w:rPr>
        <w:rStyle w:val="FooterPageNumberChar"/>
        <w:noProof/>
      </w:rPr>
      <w:t>13</w:t>
    </w:r>
    <w:r w:rsidRPr="003C310E">
      <w:rPr>
        <w:rStyle w:val="FooterPageNumberChar"/>
      </w:rPr>
      <w:fldChar w:fldCharType="end"/>
    </w:r>
    <w:r>
      <w:br/>
    </w:r>
    <w:r w:rsidRPr="00521E33">
      <w:t>Households in Tanzania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088" w:rsidRDefault="005E6088">
      <w:r>
        <w:separator/>
      </w:r>
    </w:p>
  </w:footnote>
  <w:footnote w:type="continuationSeparator" w:id="0">
    <w:p w:rsidR="005E6088" w:rsidRDefault="005E6088">
      <w:r>
        <w:continuationSeparator/>
      </w:r>
    </w:p>
    <w:p w:rsidR="005E6088" w:rsidRDefault="005E6088"/>
  </w:footnote>
  <w:footnote w:id="1">
    <w:p w:rsidR="000C417E" w:rsidRDefault="000C417E" w:rsidP="00521E33">
      <w:pPr>
        <w:pStyle w:val="FootnoteText"/>
      </w:pPr>
      <w:r>
        <w:rPr>
          <w:rStyle w:val="FootnoteReference"/>
        </w:rPr>
        <w:footnoteRef/>
      </w:r>
      <w:r>
        <w:t xml:space="preserve"> </w:t>
      </w:r>
      <w:r>
        <w:tab/>
        <w:t>Most of the data has been updated from the PT savings study, except the Pact data which represents their savings groups work as of December 31, 2013.</w:t>
      </w:r>
    </w:p>
  </w:footnote>
  <w:footnote w:id="2">
    <w:p w:rsidR="000C417E" w:rsidRDefault="000C417E" w:rsidP="00521E33">
      <w:pPr>
        <w:pStyle w:val="FootnoteText"/>
      </w:pPr>
      <w:r>
        <w:rPr>
          <w:rStyle w:val="FootnoteReference"/>
        </w:rPr>
        <w:footnoteRef/>
      </w:r>
      <w:r>
        <w:t xml:space="preserve"> </w:t>
      </w:r>
      <w:r>
        <w:tab/>
        <w:t>The U.S. dollar/Tanzania shilling exchange rate used here is US$1/</w:t>
      </w:r>
      <w:proofErr w:type="spellStart"/>
      <w:r>
        <w:t>TSh</w:t>
      </w:r>
      <w:proofErr w:type="spellEnd"/>
      <w:r>
        <w:t xml:space="preserve"> 1,615.</w:t>
      </w:r>
    </w:p>
  </w:footnote>
  <w:footnote w:id="3">
    <w:p w:rsidR="000C417E" w:rsidRDefault="000C417E" w:rsidP="00521E33">
      <w:pPr>
        <w:pStyle w:val="FootnoteText"/>
      </w:pPr>
      <w:r>
        <w:rPr>
          <w:rStyle w:val="FootnoteReference"/>
        </w:rPr>
        <w:footnoteRef/>
      </w:r>
      <w:r>
        <w:t xml:space="preserve"> </w:t>
      </w:r>
      <w:r>
        <w:tab/>
      </w:r>
      <w:r w:rsidRPr="00A803BE">
        <w:t>IMARISHA conducted a</w:t>
      </w:r>
      <w:r>
        <w:t>n</w:t>
      </w:r>
      <w:r w:rsidRPr="00A803BE">
        <w:t xml:space="preserve"> H</w:t>
      </w:r>
      <w:r>
        <w:t>EA</w:t>
      </w:r>
      <w:r w:rsidRPr="00A803BE">
        <w:t xml:space="preserve"> in </w:t>
      </w:r>
      <w:r>
        <w:t xml:space="preserve">November and December </w:t>
      </w:r>
      <w:r w:rsidRPr="00A803BE">
        <w:t xml:space="preserve">2011 as a baseline activity with several of the PT partners. </w:t>
      </w:r>
      <w:r>
        <w:t xml:space="preserve">The </w:t>
      </w:r>
      <w:proofErr w:type="spellStart"/>
      <w:r>
        <w:t>endline</w:t>
      </w:r>
      <w:proofErr w:type="spellEnd"/>
      <w:r>
        <w:t xml:space="preserve"> survey was conducted in May 2014.</w:t>
      </w:r>
    </w:p>
  </w:footnote>
  <w:footnote w:id="4">
    <w:p w:rsidR="000C417E" w:rsidRDefault="000C417E" w:rsidP="00521E33">
      <w:pPr>
        <w:pStyle w:val="FootnoteText"/>
      </w:pPr>
      <w:r>
        <w:rPr>
          <w:rStyle w:val="FootnoteReference"/>
        </w:rPr>
        <w:footnoteRef/>
      </w:r>
      <w:r>
        <w:t xml:space="preserve"> </w:t>
      </w:r>
      <w:r>
        <w:tab/>
        <w:t xml:space="preserve">The SEEP Network’s Savings-led Working Group, in partnership with </w:t>
      </w:r>
      <w:r w:rsidRPr="007F2439">
        <w:t>the MasterCard Foundation</w:t>
      </w:r>
      <w:r>
        <w:rPr>
          <w:rStyle w:val="Hyperlink"/>
        </w:rPr>
        <w:t>,</w:t>
      </w:r>
      <w:r>
        <w:t xml:space="preserve"> developed guidelines for program quality, social performance, and consume</w:t>
      </w:r>
      <w:r w:rsidR="00A778D6">
        <w:t xml:space="preserve">r protection of savings. These </w:t>
      </w:r>
      <w:r>
        <w:t xml:space="preserve">principles and guidelines are intended to help agencies succeed in getting the results they want for their savings group </w:t>
      </w:r>
      <w:proofErr w:type="gramStart"/>
      <w:r>
        <w:t>members,</w:t>
      </w:r>
      <w:proofErr w:type="gramEnd"/>
      <w:r>
        <w:t xml:space="preserve"> and that in doing so, programs “do no harm.”</w:t>
      </w:r>
    </w:p>
  </w:footnote>
  <w:footnote w:id="5">
    <w:p w:rsidR="000C417E" w:rsidRDefault="000C417E" w:rsidP="00521E33">
      <w:pPr>
        <w:pStyle w:val="FootnoteText"/>
      </w:pPr>
      <w:r>
        <w:rPr>
          <w:rStyle w:val="FootnoteReference"/>
        </w:rPr>
        <w:footnoteRef/>
      </w:r>
      <w:r>
        <w:t xml:space="preserve"> </w:t>
      </w:r>
      <w:r>
        <w:tab/>
        <w:t xml:space="preserve">The final consensus guidelines were published by the SEEP Network on their website in November 2014. </w:t>
      </w:r>
      <w:r w:rsidRPr="0044462B">
        <w:rPr>
          <w:i/>
        </w:rPr>
        <w:t xml:space="preserve">Do No Harm. </w:t>
      </w:r>
      <w:proofErr w:type="gramStart"/>
      <w:r w:rsidRPr="0044462B">
        <w:rPr>
          <w:i/>
        </w:rPr>
        <w:t>Guidelines for Promoting Safe and Inclusive Savings Groups</w:t>
      </w:r>
      <w:r>
        <w:t>.</w:t>
      </w:r>
      <w:proofErr w:type="gramEnd"/>
      <w:r>
        <w:t xml:space="preserve"> </w:t>
      </w:r>
    </w:p>
    <w:p w:rsidR="000C417E" w:rsidRDefault="000C417E" w:rsidP="00521E33">
      <w:pPr>
        <w:pStyle w:val="FootnoteText"/>
      </w:pPr>
    </w:p>
  </w:footnote>
  <w:footnote w:id="6">
    <w:p w:rsidR="000C417E" w:rsidRDefault="000C417E" w:rsidP="00521E33">
      <w:pPr>
        <w:pStyle w:val="FootnoteText"/>
      </w:pPr>
      <w:r>
        <w:rPr>
          <w:rStyle w:val="FootnoteReference"/>
        </w:rPr>
        <w:footnoteRef/>
      </w:r>
      <w:r>
        <w:t xml:space="preserve"> </w:t>
      </w:r>
      <w:r>
        <w:tab/>
        <w:t>This table also appears in the PT savings study.</w:t>
      </w:r>
    </w:p>
  </w:footnote>
  <w:footnote w:id="7">
    <w:p w:rsidR="000C417E" w:rsidRPr="00D32300" w:rsidRDefault="000C417E" w:rsidP="00D32300">
      <w:pPr>
        <w:pStyle w:val="FootnoteNumberText"/>
      </w:pPr>
      <w:r w:rsidRPr="00021FAC">
        <w:rPr>
          <w:rStyle w:val="FootnoteReference"/>
        </w:rPr>
        <w:footnoteRef/>
      </w:r>
      <w:r w:rsidRPr="00D32300">
        <w:t xml:space="preserve"> </w:t>
      </w:r>
      <w:r w:rsidRPr="00D32300">
        <w:tab/>
        <w:t>In this table, Pact’s cumulative MVC Funds are slightly understated. It shows the value of materials distributed to MVC; the actual contributions are slightly more and used to cover the costs associated with their distribution.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17E" w:rsidRPr="00474CFA" w:rsidRDefault="000C417E" w:rsidP="00474CFA">
    <w:pPr>
      <w:pStyle w:val="Header"/>
      <w:rPr>
        <w:szCs w:val="24"/>
      </w:rPr>
    </w:pPr>
    <w:r>
      <w:rPr>
        <w:noProof/>
        <w:szCs w:val="24"/>
      </w:rPr>
      <w:drawing>
        <wp:anchor distT="0" distB="0" distL="114300" distR="114300" simplePos="0" relativeHeight="251659776" behindDoc="0" locked="0" layoutInCell="1" allowOverlap="1" wp14:anchorId="2A63E424" wp14:editId="5533FF6F">
          <wp:simplePos x="0" y="0"/>
          <wp:positionH relativeFrom="column">
            <wp:align>left</wp:align>
          </wp:positionH>
          <wp:positionV relativeFrom="paragraph">
            <wp:posOffset>-45720</wp:posOffset>
          </wp:positionV>
          <wp:extent cx="731520" cy="182880"/>
          <wp:effectExtent l="0" t="0" r="0" b="7620"/>
          <wp:wrapSquare wrapText="bothSides"/>
          <wp:docPr id="8" name="Picture 8" descr="dai_logo_3c_COATED-jpg-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ai_logo_3c_COATED-jpg-cop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 cy="1828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17E" w:rsidRPr="00532988" w:rsidRDefault="000C417E" w:rsidP="00532988">
    <w:pPr>
      <w:pStyle w:val="Header"/>
      <w:rPr>
        <w:szCs w:val="24"/>
      </w:rPr>
    </w:pPr>
    <w:r>
      <w:rPr>
        <w:noProof/>
        <w:szCs w:val="24"/>
      </w:rPr>
      <w:drawing>
        <wp:anchor distT="0" distB="0" distL="114300" distR="114300" simplePos="0" relativeHeight="251658752" behindDoc="0" locked="0" layoutInCell="1" allowOverlap="1" wp14:anchorId="46DB34AB" wp14:editId="62805AD0">
          <wp:simplePos x="0" y="0"/>
          <wp:positionH relativeFrom="column">
            <wp:align>right</wp:align>
          </wp:positionH>
          <wp:positionV relativeFrom="paragraph">
            <wp:posOffset>-45720</wp:posOffset>
          </wp:positionV>
          <wp:extent cx="731520" cy="182880"/>
          <wp:effectExtent l="0" t="0" r="0" b="7620"/>
          <wp:wrapSquare wrapText="bothSides"/>
          <wp:docPr id="9" name="Picture 9" descr="dai_logo_3c_COATED-jpg-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ai_logo_3c_COATED-jpg-cop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 cy="1828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17E" w:rsidRPr="003C310E" w:rsidRDefault="000C417E" w:rsidP="003C310E">
    <w:pPr>
      <w:pStyle w:val="Header"/>
      <w:spacing w:after="0"/>
    </w:pPr>
    <w:r>
      <w:rPr>
        <w:noProof/>
        <w:szCs w:val="24"/>
      </w:rPr>
      <w:drawing>
        <wp:anchor distT="0" distB="0" distL="114300" distR="114300" simplePos="0" relativeHeight="251661824" behindDoc="0" locked="0" layoutInCell="1" allowOverlap="1" wp14:anchorId="7128BD78" wp14:editId="42F9919D">
          <wp:simplePos x="0" y="0"/>
          <wp:positionH relativeFrom="column">
            <wp:posOffset>12700</wp:posOffset>
          </wp:positionH>
          <wp:positionV relativeFrom="paragraph">
            <wp:posOffset>76200</wp:posOffset>
          </wp:positionV>
          <wp:extent cx="731520" cy="182880"/>
          <wp:effectExtent l="0" t="0" r="0" b="7620"/>
          <wp:wrapSquare wrapText="bothSides"/>
          <wp:docPr id="10" name="Picture 10" descr="dai_logo_3c_COATED-jpg-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ai_logo_3c_COATED-jpg-cop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 cy="1828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15EE6"/>
    <w:multiLevelType w:val="hybridMultilevel"/>
    <w:tmpl w:val="63985068"/>
    <w:lvl w:ilvl="0" w:tplc="AF3864D0">
      <w:start w:val="1"/>
      <w:numFmt w:val="bullet"/>
      <w:pStyle w:val="TextBox"/>
      <w:lvlText w:val=""/>
      <w:lvlJc w:val="left"/>
      <w:pPr>
        <w:tabs>
          <w:tab w:val="num" w:pos="216"/>
        </w:tabs>
        <w:ind w:left="216" w:hanging="216"/>
      </w:pPr>
      <w:rPr>
        <w:rFonts w:ascii="Wingdings" w:hAnsi="Wingdings" w:cs="Times New Roman" w:hint="default"/>
        <w:b w:val="0"/>
        <w:i w:val="0"/>
        <w:color w:val="2B5A85"/>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57B4DF0"/>
    <w:multiLevelType w:val="hybridMultilevel"/>
    <w:tmpl w:val="8820BC24"/>
    <w:lvl w:ilvl="0" w:tplc="3CEED58A">
      <w:start w:val="1"/>
      <w:numFmt w:val="bullet"/>
      <w:lvlText w:val=""/>
      <w:lvlJc w:val="left"/>
      <w:pPr>
        <w:tabs>
          <w:tab w:val="num" w:pos="216"/>
        </w:tabs>
        <w:ind w:left="216" w:hanging="216"/>
      </w:pPr>
      <w:rPr>
        <w:rFonts w:ascii="Symbol" w:hAnsi="Symbol" w:cs="Times New Roman" w:hint="default"/>
        <w:b w:val="0"/>
        <w:i w:val="0"/>
        <w:color w:val="auto"/>
        <w:sz w:val="18"/>
        <w:szCs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AAC768C"/>
    <w:multiLevelType w:val="hybridMultilevel"/>
    <w:tmpl w:val="EA788E5A"/>
    <w:lvl w:ilvl="0" w:tplc="B2F4E23E">
      <w:start w:val="1"/>
      <w:numFmt w:val="bullet"/>
      <w:pStyle w:val="TableBullet"/>
      <w:lvlText w:val=""/>
      <w:lvlJc w:val="left"/>
      <w:pPr>
        <w:ind w:left="360" w:hanging="360"/>
      </w:pPr>
      <w:rPr>
        <w:rFonts w:ascii="Wingdings" w:hAnsi="Wingdings" w:hint="default"/>
        <w:b w:val="0"/>
        <w:i w:val="0"/>
        <w:color w:val="2B5A85"/>
        <w:sz w:val="20"/>
        <w:szCs w:val="24"/>
        <w:u w:color="FFFF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651171"/>
    <w:multiLevelType w:val="hybridMultilevel"/>
    <w:tmpl w:val="9E42DA24"/>
    <w:lvl w:ilvl="0" w:tplc="170EDE1E">
      <w:start w:val="1"/>
      <w:numFmt w:val="decimal"/>
      <w:lvlText w:val="%1."/>
      <w:lvlJc w:val="left"/>
      <w:pPr>
        <w:tabs>
          <w:tab w:val="num" w:pos="216"/>
        </w:tabs>
        <w:ind w:left="216" w:hanging="216"/>
      </w:pPr>
      <w:rPr>
        <w:rFonts w:hint="default"/>
        <w:b/>
        <w:i w:val="0"/>
        <w:color w:val="auto"/>
        <w:sz w:val="22"/>
        <w:szCs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1B4877"/>
    <w:multiLevelType w:val="singleLevel"/>
    <w:tmpl w:val="D3B09886"/>
    <w:lvl w:ilvl="0">
      <w:start w:val="1"/>
      <w:numFmt w:val="bullet"/>
      <w:lvlText w:val=""/>
      <w:lvlJc w:val="left"/>
      <w:pPr>
        <w:tabs>
          <w:tab w:val="num" w:pos="288"/>
        </w:tabs>
        <w:ind w:left="288" w:hanging="288"/>
      </w:pPr>
      <w:rPr>
        <w:rFonts w:ascii="Wingdings" w:hAnsi="Wingdings" w:cs="Times New Roman" w:hint="default"/>
        <w:b w:val="0"/>
        <w:i w:val="0"/>
        <w:sz w:val="24"/>
        <w:szCs w:val="24"/>
      </w:rPr>
    </w:lvl>
  </w:abstractNum>
  <w:abstractNum w:abstractNumId="5">
    <w:nsid w:val="25126686"/>
    <w:multiLevelType w:val="hybridMultilevel"/>
    <w:tmpl w:val="DAFEC438"/>
    <w:lvl w:ilvl="0" w:tplc="627827C0">
      <w:start w:val="1"/>
      <w:numFmt w:val="bullet"/>
      <w:lvlText w:val=""/>
      <w:lvlJc w:val="left"/>
      <w:pPr>
        <w:tabs>
          <w:tab w:val="num" w:pos="288"/>
        </w:tabs>
        <w:ind w:left="288" w:hanging="288"/>
      </w:pPr>
      <w:rPr>
        <w:rFonts w:ascii="Wingdings" w:hAnsi="Wingdings"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E6B0656"/>
    <w:multiLevelType w:val="hybridMultilevel"/>
    <w:tmpl w:val="994A5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9E7BF8"/>
    <w:multiLevelType w:val="hybridMultilevel"/>
    <w:tmpl w:val="78409C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53D2619"/>
    <w:multiLevelType w:val="hybridMultilevel"/>
    <w:tmpl w:val="9516F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552C36"/>
    <w:multiLevelType w:val="hybridMultilevel"/>
    <w:tmpl w:val="903012E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10">
    <w:nsid w:val="492D756B"/>
    <w:multiLevelType w:val="hybridMultilevel"/>
    <w:tmpl w:val="1B2A74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1C3E41"/>
    <w:multiLevelType w:val="hybridMultilevel"/>
    <w:tmpl w:val="F0E63EB4"/>
    <w:lvl w:ilvl="0" w:tplc="EA70728E">
      <w:start w:val="1"/>
      <w:numFmt w:val="bullet"/>
      <w:pStyle w:val="Bullet1"/>
      <w:lvlText w:val=""/>
      <w:lvlJc w:val="left"/>
      <w:pPr>
        <w:ind w:left="720" w:hanging="360"/>
      </w:pPr>
      <w:rPr>
        <w:rFonts w:ascii="Wingdings" w:hAnsi="Wingdings" w:hint="default"/>
        <w:b w:val="0"/>
        <w:i w:val="0"/>
        <w:color w:val="000000"/>
        <w:sz w:val="24"/>
        <w:szCs w:val="24"/>
        <w:u w:color="FFFF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4"/>
  </w:num>
  <w:num w:numId="5">
    <w:abstractNumId w:val="0"/>
  </w:num>
  <w:num w:numId="6">
    <w:abstractNumId w:val="11"/>
  </w:num>
  <w:num w:numId="7">
    <w:abstractNumId w:val="2"/>
  </w:num>
  <w:num w:numId="8">
    <w:abstractNumId w:val="1"/>
  </w:num>
  <w:num w:numId="9">
    <w:abstractNumId w:val="10"/>
  </w:num>
  <w:num w:numId="10">
    <w:abstractNumId w:val="3"/>
  </w:num>
  <w:num w:numId="11">
    <w:abstractNumId w:val="9"/>
  </w:num>
  <w:num w:numId="12">
    <w:abstractNumId w:val="6"/>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o:colormru v:ext="edit" colors="#f2cea6,#e6cdb4,#6c471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D7A"/>
    <w:rsid w:val="00011584"/>
    <w:rsid w:val="00021FAC"/>
    <w:rsid w:val="000246FA"/>
    <w:rsid w:val="0003033A"/>
    <w:rsid w:val="000410AA"/>
    <w:rsid w:val="00052EF9"/>
    <w:rsid w:val="00065855"/>
    <w:rsid w:val="00070D6C"/>
    <w:rsid w:val="00074383"/>
    <w:rsid w:val="00085F4D"/>
    <w:rsid w:val="00097D6E"/>
    <w:rsid w:val="000A000C"/>
    <w:rsid w:val="000C417E"/>
    <w:rsid w:val="000C448F"/>
    <w:rsid w:val="000D0D02"/>
    <w:rsid w:val="000D1A7E"/>
    <w:rsid w:val="000D2997"/>
    <w:rsid w:val="000E0B1E"/>
    <w:rsid w:val="00102A03"/>
    <w:rsid w:val="00103759"/>
    <w:rsid w:val="001039AE"/>
    <w:rsid w:val="0010520E"/>
    <w:rsid w:val="00107A5F"/>
    <w:rsid w:val="00134A24"/>
    <w:rsid w:val="0013509F"/>
    <w:rsid w:val="0014059C"/>
    <w:rsid w:val="00143A7B"/>
    <w:rsid w:val="00160FA1"/>
    <w:rsid w:val="0016478E"/>
    <w:rsid w:val="00167717"/>
    <w:rsid w:val="0017149F"/>
    <w:rsid w:val="00182F9D"/>
    <w:rsid w:val="00191814"/>
    <w:rsid w:val="001A2315"/>
    <w:rsid w:val="001A3EE7"/>
    <w:rsid w:val="001A4F85"/>
    <w:rsid w:val="001A73EB"/>
    <w:rsid w:val="001B2CFE"/>
    <w:rsid w:val="001B5420"/>
    <w:rsid w:val="001C0944"/>
    <w:rsid w:val="001C26B3"/>
    <w:rsid w:val="001C6FEA"/>
    <w:rsid w:val="001E78B6"/>
    <w:rsid w:val="001F2021"/>
    <w:rsid w:val="00211251"/>
    <w:rsid w:val="00213E7E"/>
    <w:rsid w:val="00221791"/>
    <w:rsid w:val="00222B22"/>
    <w:rsid w:val="00223A01"/>
    <w:rsid w:val="00235A84"/>
    <w:rsid w:val="00244933"/>
    <w:rsid w:val="002476E6"/>
    <w:rsid w:val="00277075"/>
    <w:rsid w:val="00285CF2"/>
    <w:rsid w:val="0029329D"/>
    <w:rsid w:val="002A1A76"/>
    <w:rsid w:val="002E353D"/>
    <w:rsid w:val="002E3670"/>
    <w:rsid w:val="002E4BF9"/>
    <w:rsid w:val="002F0227"/>
    <w:rsid w:val="00303E5C"/>
    <w:rsid w:val="003075F4"/>
    <w:rsid w:val="003132DD"/>
    <w:rsid w:val="003136B0"/>
    <w:rsid w:val="00353482"/>
    <w:rsid w:val="003624CE"/>
    <w:rsid w:val="00366A1F"/>
    <w:rsid w:val="00383AD4"/>
    <w:rsid w:val="003912A0"/>
    <w:rsid w:val="003954AA"/>
    <w:rsid w:val="003A6F65"/>
    <w:rsid w:val="003A714F"/>
    <w:rsid w:val="003C310E"/>
    <w:rsid w:val="003C783A"/>
    <w:rsid w:val="003D3486"/>
    <w:rsid w:val="003D3DC8"/>
    <w:rsid w:val="003D53FB"/>
    <w:rsid w:val="003E28E2"/>
    <w:rsid w:val="003E70F5"/>
    <w:rsid w:val="00400F91"/>
    <w:rsid w:val="00403DB6"/>
    <w:rsid w:val="004147FA"/>
    <w:rsid w:val="00414AA9"/>
    <w:rsid w:val="00425874"/>
    <w:rsid w:val="00433734"/>
    <w:rsid w:val="00442176"/>
    <w:rsid w:val="004434AC"/>
    <w:rsid w:val="00445329"/>
    <w:rsid w:val="0044764D"/>
    <w:rsid w:val="00453103"/>
    <w:rsid w:val="004573E8"/>
    <w:rsid w:val="00462473"/>
    <w:rsid w:val="00467B88"/>
    <w:rsid w:val="00471F79"/>
    <w:rsid w:val="00471FC6"/>
    <w:rsid w:val="00473637"/>
    <w:rsid w:val="00474CFA"/>
    <w:rsid w:val="0047503D"/>
    <w:rsid w:val="00483206"/>
    <w:rsid w:val="004B1442"/>
    <w:rsid w:val="004C4EE7"/>
    <w:rsid w:val="004D0E91"/>
    <w:rsid w:val="004D0E95"/>
    <w:rsid w:val="004D7C43"/>
    <w:rsid w:val="004E65BF"/>
    <w:rsid w:val="004F44AA"/>
    <w:rsid w:val="0050775D"/>
    <w:rsid w:val="00517B23"/>
    <w:rsid w:val="00521E13"/>
    <w:rsid w:val="00521E33"/>
    <w:rsid w:val="0052585C"/>
    <w:rsid w:val="0053204D"/>
    <w:rsid w:val="00532988"/>
    <w:rsid w:val="00536945"/>
    <w:rsid w:val="00546A7B"/>
    <w:rsid w:val="005505F2"/>
    <w:rsid w:val="00557D1F"/>
    <w:rsid w:val="0058226F"/>
    <w:rsid w:val="00583AED"/>
    <w:rsid w:val="0058612C"/>
    <w:rsid w:val="00586788"/>
    <w:rsid w:val="00593DCC"/>
    <w:rsid w:val="00595CDA"/>
    <w:rsid w:val="0059729A"/>
    <w:rsid w:val="005A49D1"/>
    <w:rsid w:val="005A4DCB"/>
    <w:rsid w:val="005A7687"/>
    <w:rsid w:val="005B0F75"/>
    <w:rsid w:val="005C04C0"/>
    <w:rsid w:val="005C22C0"/>
    <w:rsid w:val="005C7F8A"/>
    <w:rsid w:val="005D0D7B"/>
    <w:rsid w:val="005E06BA"/>
    <w:rsid w:val="005E275C"/>
    <w:rsid w:val="005E6088"/>
    <w:rsid w:val="00614C95"/>
    <w:rsid w:val="0063523D"/>
    <w:rsid w:val="006379F4"/>
    <w:rsid w:val="00642D2B"/>
    <w:rsid w:val="006532E5"/>
    <w:rsid w:val="0066270E"/>
    <w:rsid w:val="006645CF"/>
    <w:rsid w:val="006666B5"/>
    <w:rsid w:val="0066754C"/>
    <w:rsid w:val="00673792"/>
    <w:rsid w:val="00674A2F"/>
    <w:rsid w:val="00687C23"/>
    <w:rsid w:val="006B2CF9"/>
    <w:rsid w:val="006B6E05"/>
    <w:rsid w:val="006B7F1D"/>
    <w:rsid w:val="006E3F86"/>
    <w:rsid w:val="006E725D"/>
    <w:rsid w:val="006F1856"/>
    <w:rsid w:val="006F19BF"/>
    <w:rsid w:val="006F288B"/>
    <w:rsid w:val="006F3BCB"/>
    <w:rsid w:val="0070774C"/>
    <w:rsid w:val="007145E4"/>
    <w:rsid w:val="00716FE2"/>
    <w:rsid w:val="00720355"/>
    <w:rsid w:val="00724D0C"/>
    <w:rsid w:val="00735381"/>
    <w:rsid w:val="00736228"/>
    <w:rsid w:val="007378CC"/>
    <w:rsid w:val="00737D8B"/>
    <w:rsid w:val="00762342"/>
    <w:rsid w:val="00762E54"/>
    <w:rsid w:val="00767673"/>
    <w:rsid w:val="00790FB9"/>
    <w:rsid w:val="00793F7D"/>
    <w:rsid w:val="007B6B29"/>
    <w:rsid w:val="007B7E4E"/>
    <w:rsid w:val="007C3C1C"/>
    <w:rsid w:val="007C5F09"/>
    <w:rsid w:val="007C75E0"/>
    <w:rsid w:val="007C7E0C"/>
    <w:rsid w:val="007D4CF8"/>
    <w:rsid w:val="007D5F1F"/>
    <w:rsid w:val="007E351B"/>
    <w:rsid w:val="007F7226"/>
    <w:rsid w:val="008151C5"/>
    <w:rsid w:val="00833061"/>
    <w:rsid w:val="00837CA7"/>
    <w:rsid w:val="008414FC"/>
    <w:rsid w:val="0084397A"/>
    <w:rsid w:val="00854842"/>
    <w:rsid w:val="00855098"/>
    <w:rsid w:val="00855A2F"/>
    <w:rsid w:val="00857BF8"/>
    <w:rsid w:val="0086615D"/>
    <w:rsid w:val="0086690C"/>
    <w:rsid w:val="00875164"/>
    <w:rsid w:val="0088026B"/>
    <w:rsid w:val="00897025"/>
    <w:rsid w:val="00897A47"/>
    <w:rsid w:val="008B29F4"/>
    <w:rsid w:val="008B41D1"/>
    <w:rsid w:val="008C090B"/>
    <w:rsid w:val="008C139E"/>
    <w:rsid w:val="008C2274"/>
    <w:rsid w:val="008D059E"/>
    <w:rsid w:val="008D5153"/>
    <w:rsid w:val="008E570D"/>
    <w:rsid w:val="008E6233"/>
    <w:rsid w:val="008F3254"/>
    <w:rsid w:val="008F64B6"/>
    <w:rsid w:val="00903EDC"/>
    <w:rsid w:val="00910490"/>
    <w:rsid w:val="00921F4C"/>
    <w:rsid w:val="00930A2F"/>
    <w:rsid w:val="009537B7"/>
    <w:rsid w:val="0096065A"/>
    <w:rsid w:val="00960D6C"/>
    <w:rsid w:val="009667F2"/>
    <w:rsid w:val="00971CA7"/>
    <w:rsid w:val="00977188"/>
    <w:rsid w:val="0099003B"/>
    <w:rsid w:val="0099311E"/>
    <w:rsid w:val="009A05A0"/>
    <w:rsid w:val="009A11E3"/>
    <w:rsid w:val="009A5753"/>
    <w:rsid w:val="009B0481"/>
    <w:rsid w:val="009B1B37"/>
    <w:rsid w:val="009C1C3D"/>
    <w:rsid w:val="009D02B5"/>
    <w:rsid w:val="009D2295"/>
    <w:rsid w:val="009E38AF"/>
    <w:rsid w:val="009F31EC"/>
    <w:rsid w:val="00A03187"/>
    <w:rsid w:val="00A12C6E"/>
    <w:rsid w:val="00A13459"/>
    <w:rsid w:val="00A14174"/>
    <w:rsid w:val="00A47729"/>
    <w:rsid w:val="00A546BD"/>
    <w:rsid w:val="00A55B5E"/>
    <w:rsid w:val="00A70F70"/>
    <w:rsid w:val="00A713E4"/>
    <w:rsid w:val="00A76044"/>
    <w:rsid w:val="00A76803"/>
    <w:rsid w:val="00A778D6"/>
    <w:rsid w:val="00A77D7A"/>
    <w:rsid w:val="00AA0415"/>
    <w:rsid w:val="00AA5748"/>
    <w:rsid w:val="00AD771B"/>
    <w:rsid w:val="00AF4CA3"/>
    <w:rsid w:val="00B029CA"/>
    <w:rsid w:val="00B05C7F"/>
    <w:rsid w:val="00B11177"/>
    <w:rsid w:val="00B27078"/>
    <w:rsid w:val="00B31BDE"/>
    <w:rsid w:val="00B33719"/>
    <w:rsid w:val="00B45342"/>
    <w:rsid w:val="00B45CD6"/>
    <w:rsid w:val="00B51020"/>
    <w:rsid w:val="00B81C97"/>
    <w:rsid w:val="00B82F44"/>
    <w:rsid w:val="00B8632F"/>
    <w:rsid w:val="00BB1125"/>
    <w:rsid w:val="00BB271D"/>
    <w:rsid w:val="00BB4DCD"/>
    <w:rsid w:val="00BC60DB"/>
    <w:rsid w:val="00BD0729"/>
    <w:rsid w:val="00BD34D3"/>
    <w:rsid w:val="00BF064B"/>
    <w:rsid w:val="00C148A5"/>
    <w:rsid w:val="00C24763"/>
    <w:rsid w:val="00C36807"/>
    <w:rsid w:val="00C43DFF"/>
    <w:rsid w:val="00C444E7"/>
    <w:rsid w:val="00C7406A"/>
    <w:rsid w:val="00C80844"/>
    <w:rsid w:val="00C81592"/>
    <w:rsid w:val="00C94A6A"/>
    <w:rsid w:val="00CA2B14"/>
    <w:rsid w:val="00CB65A0"/>
    <w:rsid w:val="00CB7EDA"/>
    <w:rsid w:val="00CD28DB"/>
    <w:rsid w:val="00CD76F3"/>
    <w:rsid w:val="00CE6212"/>
    <w:rsid w:val="00CF3E7D"/>
    <w:rsid w:val="00D03DA6"/>
    <w:rsid w:val="00D22EF4"/>
    <w:rsid w:val="00D27750"/>
    <w:rsid w:val="00D32300"/>
    <w:rsid w:val="00D42221"/>
    <w:rsid w:val="00D5102F"/>
    <w:rsid w:val="00D903F1"/>
    <w:rsid w:val="00D9369E"/>
    <w:rsid w:val="00D941C2"/>
    <w:rsid w:val="00DE2E00"/>
    <w:rsid w:val="00DE45A2"/>
    <w:rsid w:val="00E04F29"/>
    <w:rsid w:val="00E052C6"/>
    <w:rsid w:val="00E30385"/>
    <w:rsid w:val="00E31C44"/>
    <w:rsid w:val="00E3450D"/>
    <w:rsid w:val="00E472BF"/>
    <w:rsid w:val="00E56E45"/>
    <w:rsid w:val="00E605A2"/>
    <w:rsid w:val="00E60FE3"/>
    <w:rsid w:val="00E66435"/>
    <w:rsid w:val="00E67ADC"/>
    <w:rsid w:val="00E70422"/>
    <w:rsid w:val="00E71AF8"/>
    <w:rsid w:val="00E828C2"/>
    <w:rsid w:val="00E82D83"/>
    <w:rsid w:val="00EB2952"/>
    <w:rsid w:val="00EC12D2"/>
    <w:rsid w:val="00EC7A2F"/>
    <w:rsid w:val="00ED4644"/>
    <w:rsid w:val="00EE0839"/>
    <w:rsid w:val="00EE5CAF"/>
    <w:rsid w:val="00EF0030"/>
    <w:rsid w:val="00EF7BB4"/>
    <w:rsid w:val="00F041EF"/>
    <w:rsid w:val="00F07269"/>
    <w:rsid w:val="00F10FEF"/>
    <w:rsid w:val="00F212AA"/>
    <w:rsid w:val="00F24D00"/>
    <w:rsid w:val="00F250A5"/>
    <w:rsid w:val="00F31943"/>
    <w:rsid w:val="00F33518"/>
    <w:rsid w:val="00F3515A"/>
    <w:rsid w:val="00F40932"/>
    <w:rsid w:val="00F52978"/>
    <w:rsid w:val="00F556E3"/>
    <w:rsid w:val="00F668BE"/>
    <w:rsid w:val="00F97D12"/>
    <w:rsid w:val="00FA5B24"/>
    <w:rsid w:val="00FB3E85"/>
    <w:rsid w:val="00FB63AD"/>
    <w:rsid w:val="00FC6857"/>
    <w:rsid w:val="00FE3512"/>
    <w:rsid w:val="00FE3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2049">
      <o:colormru v:ext="edit" colors="#f2cea6,#e6cdb4,#6c47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note text" w:uiPriority="99"/>
    <w:lsdException w:name="footer" w:uiPriority="99"/>
    <w:lsdException w:name="caption" w:semiHidden="1" w:uiPriority="35" w:unhideWhenUsed="1" w:qFormat="1"/>
    <w:lsdException w:name="footnote reference" w:uiPriority="99"/>
    <w:lsdException w:name="endnote reference" w:uiPriority="99"/>
    <w:lsdException w:name="endnote text" w:uiPriority="99"/>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2585C"/>
    <w:pPr>
      <w:spacing w:after="120"/>
    </w:pPr>
    <w:rPr>
      <w:rFonts w:ascii="Arial" w:hAnsi="Arial"/>
      <w:sz w:val="22"/>
    </w:rPr>
  </w:style>
  <w:style w:type="paragraph" w:styleId="Heading1">
    <w:name w:val="heading 1"/>
    <w:basedOn w:val="Normal"/>
    <w:next w:val="Normal"/>
    <w:qFormat/>
    <w:rsid w:val="00FB63AD"/>
    <w:pPr>
      <w:keepNext/>
      <w:spacing w:after="240"/>
      <w:outlineLvl w:val="0"/>
    </w:pPr>
    <w:rPr>
      <w:rFonts w:ascii="HelveticaNeueLT Std" w:hAnsi="HelveticaNeueLT Std"/>
      <w:color w:val="2B5085"/>
      <w:kern w:val="28"/>
      <w:sz w:val="40"/>
      <w:szCs w:val="40"/>
    </w:rPr>
  </w:style>
  <w:style w:type="paragraph" w:styleId="Heading2">
    <w:name w:val="heading 2"/>
    <w:basedOn w:val="Normal"/>
    <w:next w:val="Normal"/>
    <w:qFormat/>
    <w:rsid w:val="00102A03"/>
    <w:pPr>
      <w:keepNext/>
      <w:spacing w:before="240"/>
      <w:outlineLvl w:val="1"/>
    </w:pPr>
    <w:rPr>
      <w:rFonts w:ascii="HelveticaNeueLT Std" w:hAnsi="HelveticaNeueLT Std"/>
      <w:caps/>
      <w:color w:val="2B5A85"/>
      <w:sz w:val="28"/>
      <w:szCs w:val="26"/>
    </w:rPr>
  </w:style>
  <w:style w:type="paragraph" w:styleId="Heading3">
    <w:name w:val="heading 3"/>
    <w:basedOn w:val="Normal"/>
    <w:next w:val="Normal"/>
    <w:link w:val="Heading3Char"/>
    <w:qFormat/>
    <w:rsid w:val="00102A03"/>
    <w:pPr>
      <w:keepNext/>
      <w:spacing w:before="240" w:after="60"/>
      <w:outlineLvl w:val="2"/>
    </w:pPr>
    <w:rPr>
      <w:rFonts w:ascii="HelveticaNeueLT Std" w:hAnsi="HelveticaNeueLT Std"/>
      <w:smallCaps/>
      <w:color w:val="2B5A85"/>
      <w:sz w:val="24"/>
      <w:szCs w:val="24"/>
    </w:rPr>
  </w:style>
  <w:style w:type="paragraph" w:styleId="Heading4">
    <w:name w:val="heading 4"/>
    <w:basedOn w:val="Heading3"/>
    <w:next w:val="Normal"/>
    <w:qFormat/>
    <w:rsid w:val="00102A03"/>
    <w:pPr>
      <w:spacing w:before="120" w:after="0"/>
      <w:outlineLvl w:val="3"/>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E28E2"/>
    <w:pPr>
      <w:tabs>
        <w:tab w:val="right" w:pos="9270"/>
      </w:tabs>
      <w:spacing w:before="60" w:after="0"/>
      <w:ind w:left="86"/>
    </w:pPr>
    <w:rPr>
      <w:rFonts w:ascii="HelveticaNeueLT Std" w:hAnsi="HelveticaNeueLT Std"/>
      <w:color w:val="2B5A85"/>
      <w:spacing w:val="9"/>
      <w:sz w:val="16"/>
      <w:szCs w:val="16"/>
    </w:rPr>
  </w:style>
  <w:style w:type="paragraph" w:styleId="FootnoteText">
    <w:name w:val="footnote text"/>
    <w:basedOn w:val="Normal"/>
    <w:link w:val="FootnoteTextChar"/>
    <w:uiPriority w:val="99"/>
    <w:rsid w:val="003E28E2"/>
    <w:pPr>
      <w:spacing w:after="80"/>
      <w:ind w:left="216" w:hanging="216"/>
    </w:pPr>
    <w:rPr>
      <w:rFonts w:ascii="HelveticaNeueLT Std" w:hAnsi="HelveticaNeueLT Std"/>
      <w:sz w:val="16"/>
    </w:rPr>
  </w:style>
  <w:style w:type="paragraph" w:customStyle="1" w:styleId="CoverTitle">
    <w:name w:val="Cover Title"/>
    <w:basedOn w:val="Normal"/>
    <w:rsid w:val="0050775D"/>
    <w:pPr>
      <w:spacing w:after="600" w:line="720" w:lineRule="exact"/>
    </w:pPr>
    <w:rPr>
      <w:rFonts w:ascii="HelveticaNeueLT Std" w:hAnsi="HelveticaNeueLT Std" w:cs="Arial"/>
      <w:color w:val="2B5A85"/>
      <w:sz w:val="52"/>
      <w:szCs w:val="60"/>
    </w:rPr>
  </w:style>
  <w:style w:type="paragraph" w:styleId="TableofFigures">
    <w:name w:val="table of figures"/>
    <w:aliases w:val="Table"/>
    <w:basedOn w:val="Normal"/>
    <w:next w:val="Normal"/>
    <w:semiHidden/>
    <w:rsid w:val="003E28E2"/>
    <w:rPr>
      <w:sz w:val="20"/>
    </w:rPr>
  </w:style>
  <w:style w:type="paragraph" w:styleId="TOC1">
    <w:name w:val="toc 1"/>
    <w:basedOn w:val="Heading1"/>
    <w:next w:val="Normal"/>
    <w:uiPriority w:val="39"/>
    <w:rsid w:val="003E28E2"/>
    <w:pPr>
      <w:tabs>
        <w:tab w:val="right" w:pos="9360"/>
      </w:tabs>
      <w:spacing w:before="240" w:after="60"/>
    </w:pPr>
    <w:rPr>
      <w:sz w:val="28"/>
    </w:rPr>
  </w:style>
  <w:style w:type="paragraph" w:styleId="TOC2">
    <w:name w:val="toc 2"/>
    <w:basedOn w:val="Heading2"/>
    <w:next w:val="Normal"/>
    <w:uiPriority w:val="39"/>
    <w:rsid w:val="003E28E2"/>
    <w:pPr>
      <w:tabs>
        <w:tab w:val="right" w:leader="dot" w:pos="9360"/>
      </w:tabs>
      <w:spacing w:before="60" w:after="60"/>
    </w:pPr>
    <w:rPr>
      <w:sz w:val="20"/>
    </w:rPr>
  </w:style>
  <w:style w:type="paragraph" w:styleId="TOC3">
    <w:name w:val="toc 3"/>
    <w:basedOn w:val="Heading3"/>
    <w:next w:val="Normal"/>
    <w:uiPriority w:val="39"/>
    <w:rsid w:val="003E28E2"/>
    <w:pPr>
      <w:tabs>
        <w:tab w:val="right" w:leader="dot" w:pos="9360"/>
      </w:tabs>
      <w:spacing w:before="60"/>
      <w:ind w:left="475"/>
    </w:pPr>
    <w:rPr>
      <w:smallCaps w:val="0"/>
      <w:sz w:val="20"/>
      <w:szCs w:val="22"/>
    </w:rPr>
  </w:style>
  <w:style w:type="paragraph" w:customStyle="1" w:styleId="TableHeading">
    <w:name w:val="Table Heading"/>
    <w:basedOn w:val="Normal"/>
    <w:rsid w:val="00102A03"/>
    <w:pPr>
      <w:spacing w:after="0"/>
    </w:pPr>
    <w:rPr>
      <w:rFonts w:ascii="HelveticaNeueLT Std" w:eastAsia="MinioMM_485 SB 585 NO 11 OP" w:hAnsi="HelveticaNeueLT Std"/>
      <w:b/>
      <w:color w:val="2B5A85"/>
      <w:sz w:val="18"/>
    </w:rPr>
  </w:style>
  <w:style w:type="paragraph" w:customStyle="1" w:styleId="TableText">
    <w:name w:val="Table Text"/>
    <w:basedOn w:val="Normal"/>
    <w:rsid w:val="003E28E2"/>
    <w:pPr>
      <w:spacing w:after="0"/>
    </w:pPr>
    <w:rPr>
      <w:rFonts w:ascii="HelveticaNeueLT Std" w:eastAsia="MinioMM_485 SB 585 NO 11 OP" w:hAnsi="HelveticaNeueLT Std"/>
      <w:color w:val="2B5A85"/>
      <w:sz w:val="18"/>
      <w:szCs w:val="18"/>
    </w:rPr>
  </w:style>
  <w:style w:type="paragraph" w:customStyle="1" w:styleId="TableTitle">
    <w:name w:val="Table Title"/>
    <w:basedOn w:val="Normal"/>
    <w:link w:val="TableTitleChar"/>
    <w:rsid w:val="009E38AF"/>
    <w:pPr>
      <w:spacing w:before="120" w:after="60"/>
    </w:pPr>
    <w:rPr>
      <w:rFonts w:ascii="HelveticaNeueLT Std" w:hAnsi="HelveticaNeueLT Std"/>
      <w:b/>
      <w:caps/>
      <w:color w:val="2B5A85"/>
      <w:sz w:val="18"/>
      <w:szCs w:val="18"/>
    </w:rPr>
  </w:style>
  <w:style w:type="paragraph" w:customStyle="1" w:styleId="FigureTitle">
    <w:name w:val="Figure Title"/>
    <w:basedOn w:val="TableTitle"/>
    <w:rsid w:val="009E38AF"/>
  </w:style>
  <w:style w:type="paragraph" w:styleId="Header">
    <w:name w:val="header"/>
    <w:basedOn w:val="Normal"/>
    <w:rsid w:val="003E28E2"/>
    <w:pPr>
      <w:tabs>
        <w:tab w:val="center" w:pos="4320"/>
        <w:tab w:val="right" w:pos="8640"/>
      </w:tabs>
    </w:pPr>
  </w:style>
  <w:style w:type="paragraph" w:customStyle="1" w:styleId="TextBox">
    <w:name w:val="Text Box"/>
    <w:basedOn w:val="Normal"/>
    <w:rsid w:val="00E472BF"/>
    <w:pPr>
      <w:framePr w:w="3600" w:hSpace="288" w:vSpace="144" w:wrap="around" w:vAnchor="text" w:hAnchor="text" w:xAlign="right" w:y="1"/>
      <w:numPr>
        <w:numId w:val="5"/>
      </w:numPr>
      <w:pBdr>
        <w:top w:val="single" w:sz="18" w:space="6" w:color="2B5A85"/>
        <w:bottom w:val="single" w:sz="18" w:space="6" w:color="2B5A85"/>
      </w:pBdr>
      <w:tabs>
        <w:tab w:val="clear" w:pos="216"/>
        <w:tab w:val="num" w:pos="288"/>
      </w:tabs>
      <w:spacing w:before="60" w:after="0"/>
      <w:ind w:left="288" w:hanging="288"/>
    </w:pPr>
    <w:rPr>
      <w:rFonts w:ascii="HelveticaNeueLT Std" w:hAnsi="HelveticaNeueLT Std"/>
      <w:color w:val="2B5A85"/>
      <w:sz w:val="18"/>
      <w:szCs w:val="18"/>
    </w:rPr>
  </w:style>
  <w:style w:type="paragraph" w:customStyle="1" w:styleId="CoverText2">
    <w:name w:val="Cover Text 2"/>
    <w:basedOn w:val="Normal"/>
    <w:rsid w:val="003E28E2"/>
    <w:pPr>
      <w:spacing w:after="400" w:line="320" w:lineRule="exact"/>
    </w:pPr>
    <w:rPr>
      <w:rFonts w:ascii="HelveticaNeueLT Std" w:hAnsi="HelveticaNeueLT Std" w:cs="Arial"/>
      <w:color w:val="2B5A85"/>
      <w:sz w:val="28"/>
      <w:szCs w:val="28"/>
    </w:rPr>
  </w:style>
  <w:style w:type="paragraph" w:customStyle="1" w:styleId="CoverText1">
    <w:name w:val="Cover Text 1"/>
    <w:basedOn w:val="Normal"/>
    <w:rsid w:val="003E28E2"/>
    <w:pPr>
      <w:spacing w:after="0"/>
    </w:pPr>
    <w:rPr>
      <w:rFonts w:ascii="HelveticaNeueLT Std" w:hAnsi="HelveticaNeueLT Std" w:cs="Arial"/>
      <w:color w:val="2B5A85"/>
      <w:sz w:val="40"/>
      <w:szCs w:val="40"/>
    </w:rPr>
  </w:style>
  <w:style w:type="character" w:styleId="FollowedHyperlink">
    <w:name w:val="FollowedHyperlink"/>
    <w:rsid w:val="003E28E2"/>
    <w:rPr>
      <w:color w:val="800080"/>
      <w:u w:val="single"/>
    </w:rPr>
  </w:style>
  <w:style w:type="paragraph" w:styleId="BalloonText">
    <w:name w:val="Balloon Text"/>
    <w:basedOn w:val="Normal"/>
    <w:semiHidden/>
    <w:rsid w:val="003E28E2"/>
    <w:rPr>
      <w:rFonts w:ascii="Tahoma" w:hAnsi="Tahoma" w:cs="Tahoma"/>
      <w:sz w:val="16"/>
      <w:szCs w:val="16"/>
    </w:rPr>
  </w:style>
  <w:style w:type="paragraph" w:customStyle="1" w:styleId="AdvancingHumanProsperity">
    <w:name w:val="Advancing Human Prosperity"/>
    <w:basedOn w:val="Normal"/>
    <w:rsid w:val="003E28E2"/>
    <w:pPr>
      <w:tabs>
        <w:tab w:val="left" w:pos="6000"/>
        <w:tab w:val="right" w:pos="8640"/>
      </w:tabs>
      <w:spacing w:before="40" w:after="0"/>
      <w:ind w:left="6005" w:hanging="2405"/>
    </w:pPr>
    <w:rPr>
      <w:rFonts w:ascii="HelveticaNeueLT Std" w:hAnsi="HelveticaNeueLT Std" w:cs="Arial"/>
      <w:color w:val="6C4713"/>
      <w:sz w:val="16"/>
      <w:szCs w:val="14"/>
    </w:rPr>
  </w:style>
  <w:style w:type="paragraph" w:customStyle="1" w:styleId="BulletLast">
    <w:name w:val="Bullet Last"/>
    <w:basedOn w:val="Bullet1"/>
    <w:next w:val="Normal"/>
    <w:qFormat/>
    <w:rsid w:val="00E828C2"/>
    <w:pPr>
      <w:spacing w:after="120"/>
    </w:pPr>
  </w:style>
  <w:style w:type="character" w:styleId="FootnoteReference">
    <w:name w:val="footnote reference"/>
    <w:uiPriority w:val="99"/>
    <w:rsid w:val="003E28E2"/>
    <w:rPr>
      <w:vertAlign w:val="superscript"/>
    </w:rPr>
  </w:style>
  <w:style w:type="character" w:styleId="CommentReference">
    <w:name w:val="annotation reference"/>
    <w:semiHidden/>
    <w:rsid w:val="003E28E2"/>
    <w:rPr>
      <w:sz w:val="16"/>
      <w:szCs w:val="16"/>
    </w:rPr>
  </w:style>
  <w:style w:type="paragraph" w:styleId="CommentText">
    <w:name w:val="annotation text"/>
    <w:basedOn w:val="Normal"/>
    <w:semiHidden/>
    <w:rsid w:val="003E28E2"/>
    <w:rPr>
      <w:sz w:val="20"/>
    </w:rPr>
  </w:style>
  <w:style w:type="paragraph" w:styleId="CommentSubject">
    <w:name w:val="annotation subject"/>
    <w:basedOn w:val="CommentText"/>
    <w:next w:val="CommentText"/>
    <w:semiHidden/>
    <w:rsid w:val="003E28E2"/>
    <w:rPr>
      <w:b/>
      <w:bCs/>
    </w:rPr>
  </w:style>
  <w:style w:type="paragraph" w:customStyle="1" w:styleId="CoverText3">
    <w:name w:val="Cover Text 3"/>
    <w:basedOn w:val="Normal"/>
    <w:rsid w:val="003E28E2"/>
    <w:rPr>
      <w:rFonts w:ascii="HelveticaNeueLT Std" w:hAnsi="HelveticaNeueLT Std"/>
      <w:color w:val="2B5A85"/>
      <w:szCs w:val="24"/>
    </w:rPr>
  </w:style>
  <w:style w:type="character" w:styleId="Hyperlink">
    <w:name w:val="Hyperlink"/>
    <w:uiPriority w:val="99"/>
    <w:rsid w:val="003E28E2"/>
    <w:rPr>
      <w:color w:val="0000FF"/>
      <w:u w:val="single"/>
    </w:rPr>
  </w:style>
  <w:style w:type="table" w:styleId="TableGrid">
    <w:name w:val="Table Grid"/>
    <w:basedOn w:val="TableNormal"/>
    <w:uiPriority w:val="59"/>
    <w:rsid w:val="00383AD4"/>
    <w:rPr>
      <w:rFonts w:ascii="HelveticaNeueLT Std" w:hAnsi="HelveticaNeueLT Std"/>
      <w:color w:val="2B5A85"/>
      <w:sz w:val="18"/>
      <w:szCs w:val="18"/>
    </w:rPr>
    <w:tblPr>
      <w:tblBorders>
        <w:bottom w:val="single" w:sz="18" w:space="0" w:color="2B5A85"/>
        <w:insideH w:val="single" w:sz="4" w:space="0" w:color="2B5A85"/>
        <w:insideV w:val="single" w:sz="4" w:space="0" w:color="2B5A85"/>
      </w:tblBorders>
      <w:tblCellMar>
        <w:top w:w="43" w:type="dxa"/>
        <w:left w:w="115" w:type="dxa"/>
        <w:bottom w:w="43" w:type="dxa"/>
        <w:right w:w="115" w:type="dxa"/>
      </w:tblCellMar>
    </w:tblPr>
    <w:tblStylePr w:type="firstRow">
      <w:pPr>
        <w:jc w:val="left"/>
      </w:pPr>
      <w:rPr>
        <w:rFonts w:ascii="Cambria" w:hAnsi="Cambria"/>
        <w:b/>
        <w:sz w:val="18"/>
      </w:rPr>
      <w:tblPr/>
      <w:tcPr>
        <w:tcBorders>
          <w:top w:val="single" w:sz="18" w:space="0" w:color="2B5A85"/>
          <w:left w:val="nil"/>
          <w:bottom w:val="single" w:sz="18" w:space="0" w:color="2B5A85"/>
          <w:right w:val="nil"/>
          <w:insideH w:val="nil"/>
          <w:insideV w:val="single" w:sz="4" w:space="0" w:color="2B5A85"/>
          <w:tl2br w:val="nil"/>
          <w:tr2bl w:val="nil"/>
        </w:tcBorders>
      </w:tcPr>
    </w:tblStylePr>
  </w:style>
  <w:style w:type="character" w:customStyle="1" w:styleId="TableTitleChar">
    <w:name w:val="Table Title Char"/>
    <w:link w:val="TableTitle"/>
    <w:rsid w:val="009E38AF"/>
    <w:rPr>
      <w:rFonts w:ascii="HelveticaNeueLT Std" w:hAnsi="HelveticaNeueLT Std"/>
      <w:b/>
      <w:caps/>
      <w:color w:val="2B5A85"/>
      <w:sz w:val="18"/>
      <w:szCs w:val="18"/>
    </w:rPr>
  </w:style>
  <w:style w:type="paragraph" w:customStyle="1" w:styleId="FooterPageNumber">
    <w:name w:val="Footer Page Number"/>
    <w:basedOn w:val="Footer"/>
    <w:link w:val="FooterPageNumberChar"/>
    <w:rsid w:val="003C310E"/>
    <w:rPr>
      <w:sz w:val="24"/>
      <w:szCs w:val="24"/>
    </w:rPr>
  </w:style>
  <w:style w:type="character" w:customStyle="1" w:styleId="FooterChar">
    <w:name w:val="Footer Char"/>
    <w:link w:val="Footer"/>
    <w:uiPriority w:val="99"/>
    <w:rsid w:val="003C310E"/>
    <w:rPr>
      <w:rFonts w:ascii="HelveticaNeueLT Std" w:hAnsi="HelveticaNeueLT Std"/>
      <w:color w:val="2B5A85"/>
      <w:spacing w:val="9"/>
      <w:sz w:val="16"/>
      <w:szCs w:val="16"/>
      <w:lang w:val="en-US" w:eastAsia="en-US" w:bidi="ar-SA"/>
    </w:rPr>
  </w:style>
  <w:style w:type="character" w:customStyle="1" w:styleId="FooterPageNumberChar">
    <w:name w:val="Footer Page Number Char"/>
    <w:link w:val="FooterPageNumber"/>
    <w:rsid w:val="003C310E"/>
    <w:rPr>
      <w:rFonts w:ascii="HelveticaNeueLT Std" w:hAnsi="HelveticaNeueLT Std"/>
      <w:color w:val="2B5A85"/>
      <w:spacing w:val="9"/>
      <w:sz w:val="24"/>
      <w:szCs w:val="24"/>
      <w:lang w:val="en-US" w:eastAsia="en-US" w:bidi="ar-SA"/>
    </w:rPr>
  </w:style>
  <w:style w:type="paragraph" w:customStyle="1" w:styleId="Contents">
    <w:name w:val="Contents"/>
    <w:basedOn w:val="Heading1"/>
    <w:rsid w:val="00134A24"/>
  </w:style>
  <w:style w:type="paragraph" w:customStyle="1" w:styleId="TableandFigureSubheads">
    <w:name w:val="Table and Figure Subheads"/>
    <w:basedOn w:val="Contents"/>
    <w:next w:val="Normal"/>
    <w:rsid w:val="009E38AF"/>
    <w:pPr>
      <w:spacing w:after="120"/>
    </w:pPr>
    <w:rPr>
      <w:sz w:val="28"/>
    </w:rPr>
  </w:style>
  <w:style w:type="paragraph" w:customStyle="1" w:styleId="Bullet1">
    <w:name w:val="Bullet 1"/>
    <w:basedOn w:val="Normal"/>
    <w:next w:val="BulletLast"/>
    <w:qFormat/>
    <w:rsid w:val="00E828C2"/>
    <w:pPr>
      <w:numPr>
        <w:numId w:val="6"/>
      </w:numPr>
      <w:spacing w:after="60"/>
      <w:ind w:left="360"/>
    </w:pPr>
  </w:style>
  <w:style w:type="paragraph" w:customStyle="1" w:styleId="TableBullet">
    <w:name w:val="Table Bullet"/>
    <w:basedOn w:val="TableText"/>
    <w:qFormat/>
    <w:rsid w:val="00E472BF"/>
    <w:pPr>
      <w:numPr>
        <w:numId w:val="7"/>
      </w:numPr>
      <w:ind w:left="144" w:hanging="144"/>
    </w:pPr>
  </w:style>
  <w:style w:type="paragraph" w:customStyle="1" w:styleId="Cover--Inside--Heading1">
    <w:name w:val="Cover--Inside--Heading 1"/>
    <w:basedOn w:val="Normal"/>
    <w:rsid w:val="0050775D"/>
    <w:pPr>
      <w:spacing w:before="400" w:after="160"/>
    </w:pPr>
    <w:rPr>
      <w:rFonts w:cs="Arial"/>
      <w:color w:val="2B5A85"/>
      <w:sz w:val="52"/>
      <w:szCs w:val="24"/>
    </w:rPr>
  </w:style>
  <w:style w:type="paragraph" w:styleId="TOC4">
    <w:name w:val="toc 4"/>
    <w:basedOn w:val="Normal"/>
    <w:next w:val="Normal"/>
    <w:autoRedefine/>
    <w:uiPriority w:val="39"/>
    <w:rsid w:val="00837CA7"/>
    <w:pPr>
      <w:tabs>
        <w:tab w:val="left" w:pos="1440"/>
        <w:tab w:val="right" w:leader="dot" w:pos="9360"/>
      </w:tabs>
      <w:spacing w:after="60"/>
      <w:ind w:left="360"/>
    </w:pPr>
    <w:rPr>
      <w:rFonts w:ascii="HelveticaNeueLT Std" w:hAnsi="HelveticaNeueLT Std"/>
      <w:color w:val="2B5A85"/>
      <w:sz w:val="20"/>
    </w:rPr>
  </w:style>
  <w:style w:type="paragraph" w:customStyle="1" w:styleId="Cover--Inside--Heading2">
    <w:name w:val="Cover--Inside--Heading 2"/>
    <w:basedOn w:val="Normal"/>
    <w:rsid w:val="0050775D"/>
    <w:pPr>
      <w:spacing w:before="280" w:after="160" w:line="320" w:lineRule="atLeast"/>
    </w:pPr>
    <w:rPr>
      <w:rFonts w:cs="Arial"/>
      <w:b/>
      <w:caps/>
      <w:color w:val="2B5A85"/>
      <w:sz w:val="28"/>
      <w:szCs w:val="24"/>
    </w:rPr>
  </w:style>
  <w:style w:type="paragraph" w:customStyle="1" w:styleId="Disclaimer--Inside">
    <w:name w:val="Disclaimer--Inside"/>
    <w:basedOn w:val="Normal"/>
    <w:rsid w:val="0050775D"/>
    <w:pPr>
      <w:spacing w:after="160" w:line="280" w:lineRule="exact"/>
      <w:ind w:left="1080" w:right="1080"/>
    </w:pPr>
    <w:rPr>
      <w:rFonts w:cs="Arial"/>
      <w:szCs w:val="24"/>
    </w:rPr>
  </w:style>
  <w:style w:type="paragraph" w:styleId="ListParagraph">
    <w:name w:val="List Paragraph"/>
    <w:basedOn w:val="Normal"/>
    <w:uiPriority w:val="34"/>
    <w:qFormat/>
    <w:rsid w:val="0052585C"/>
    <w:pPr>
      <w:spacing w:after="200" w:line="276" w:lineRule="auto"/>
      <w:ind w:left="720"/>
      <w:contextualSpacing/>
    </w:pPr>
    <w:rPr>
      <w:rFonts w:asciiTheme="minorHAnsi" w:eastAsiaTheme="minorHAnsi" w:hAnsiTheme="minorHAnsi" w:cstheme="minorBidi"/>
      <w:szCs w:val="22"/>
    </w:rPr>
  </w:style>
  <w:style w:type="paragraph" w:styleId="Caption">
    <w:name w:val="caption"/>
    <w:basedOn w:val="Normal"/>
    <w:next w:val="Normal"/>
    <w:uiPriority w:val="35"/>
    <w:unhideWhenUsed/>
    <w:qFormat/>
    <w:rsid w:val="005C04C0"/>
    <w:pPr>
      <w:spacing w:after="200"/>
    </w:pPr>
    <w:rPr>
      <w:rFonts w:asciiTheme="minorHAnsi" w:eastAsiaTheme="minorHAnsi" w:hAnsiTheme="minorHAnsi" w:cstheme="minorBidi"/>
      <w:b/>
      <w:bCs/>
      <w:color w:val="4F81BD" w:themeColor="accent1"/>
      <w:sz w:val="18"/>
      <w:szCs w:val="18"/>
    </w:rPr>
  </w:style>
  <w:style w:type="paragraph" w:styleId="EndnoteText">
    <w:name w:val="endnote text"/>
    <w:basedOn w:val="Normal"/>
    <w:link w:val="EndnoteTextChar"/>
    <w:uiPriority w:val="99"/>
    <w:unhideWhenUsed/>
    <w:rsid w:val="005C04C0"/>
    <w:pPr>
      <w:spacing w:after="0"/>
    </w:pPr>
    <w:rPr>
      <w:rFonts w:asciiTheme="minorHAnsi" w:eastAsiaTheme="minorHAnsi" w:hAnsiTheme="minorHAnsi" w:cstheme="minorBidi"/>
      <w:sz w:val="20"/>
    </w:rPr>
  </w:style>
  <w:style w:type="character" w:customStyle="1" w:styleId="EndnoteTextChar">
    <w:name w:val="Endnote Text Char"/>
    <w:basedOn w:val="DefaultParagraphFont"/>
    <w:link w:val="EndnoteText"/>
    <w:uiPriority w:val="99"/>
    <w:rsid w:val="005C04C0"/>
    <w:rPr>
      <w:rFonts w:asciiTheme="minorHAnsi" w:eastAsiaTheme="minorHAnsi" w:hAnsiTheme="minorHAnsi" w:cstheme="minorBidi"/>
    </w:rPr>
  </w:style>
  <w:style w:type="character" w:styleId="EndnoteReference">
    <w:name w:val="endnote reference"/>
    <w:basedOn w:val="DefaultParagraphFont"/>
    <w:uiPriority w:val="99"/>
    <w:unhideWhenUsed/>
    <w:rsid w:val="005C04C0"/>
    <w:rPr>
      <w:vertAlign w:val="superscript"/>
    </w:rPr>
  </w:style>
  <w:style w:type="paragraph" w:customStyle="1" w:styleId="FigureTitle1">
    <w:name w:val="Figure Title 1"/>
    <w:basedOn w:val="Normal"/>
    <w:rsid w:val="00C444E7"/>
    <w:pPr>
      <w:spacing w:before="160" w:after="0"/>
    </w:pPr>
    <w:rPr>
      <w:rFonts w:cs="Arial"/>
      <w:b/>
      <w:caps/>
      <w:szCs w:val="24"/>
    </w:rPr>
  </w:style>
  <w:style w:type="character" w:customStyle="1" w:styleId="FootnoteTextChar">
    <w:name w:val="Footnote Text Char"/>
    <w:basedOn w:val="DefaultParagraphFont"/>
    <w:link w:val="FootnoteText"/>
    <w:uiPriority w:val="99"/>
    <w:rsid w:val="00521E33"/>
    <w:rPr>
      <w:rFonts w:ascii="HelveticaNeueLT Std" w:hAnsi="HelveticaNeueLT Std"/>
      <w:sz w:val="16"/>
    </w:rPr>
  </w:style>
  <w:style w:type="character" w:customStyle="1" w:styleId="Heading3Char">
    <w:name w:val="Heading 3 Char"/>
    <w:basedOn w:val="DefaultParagraphFont"/>
    <w:link w:val="Heading3"/>
    <w:rsid w:val="00521E33"/>
    <w:rPr>
      <w:rFonts w:ascii="HelveticaNeueLT Std" w:hAnsi="HelveticaNeueLT Std"/>
      <w:smallCaps/>
      <w:color w:val="2B5A85"/>
      <w:sz w:val="24"/>
      <w:szCs w:val="24"/>
    </w:rPr>
  </w:style>
  <w:style w:type="paragraph" w:customStyle="1" w:styleId="TableTitle1">
    <w:name w:val="Table Title 1"/>
    <w:basedOn w:val="Normal"/>
    <w:rsid w:val="00521E33"/>
    <w:pPr>
      <w:spacing w:before="160" w:after="160"/>
    </w:pPr>
    <w:rPr>
      <w:rFonts w:cs="Arial"/>
      <w:b/>
      <w:caps/>
      <w:szCs w:val="24"/>
    </w:rPr>
  </w:style>
  <w:style w:type="character" w:styleId="PageNumber">
    <w:name w:val="page number"/>
    <w:basedOn w:val="DefaultParagraphFont"/>
    <w:rsid w:val="00521E33"/>
  </w:style>
  <w:style w:type="paragraph" w:customStyle="1" w:styleId="FootnoteNumberText">
    <w:name w:val="Footnote Number &amp; Text"/>
    <w:basedOn w:val="Normal"/>
    <w:rsid w:val="00521E33"/>
    <w:pPr>
      <w:spacing w:after="100" w:line="180" w:lineRule="exact"/>
      <w:ind w:left="158" w:hanging="158"/>
    </w:pPr>
    <w:rPr>
      <w:rFonts w:cs="Arial"/>
      <w:sz w:val="1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note text" w:uiPriority="99"/>
    <w:lsdException w:name="footer" w:uiPriority="99"/>
    <w:lsdException w:name="caption" w:semiHidden="1" w:uiPriority="35" w:unhideWhenUsed="1" w:qFormat="1"/>
    <w:lsdException w:name="footnote reference" w:uiPriority="99"/>
    <w:lsdException w:name="endnote reference" w:uiPriority="99"/>
    <w:lsdException w:name="endnote text" w:uiPriority="99"/>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2585C"/>
    <w:pPr>
      <w:spacing w:after="120"/>
    </w:pPr>
    <w:rPr>
      <w:rFonts w:ascii="Arial" w:hAnsi="Arial"/>
      <w:sz w:val="22"/>
    </w:rPr>
  </w:style>
  <w:style w:type="paragraph" w:styleId="Heading1">
    <w:name w:val="heading 1"/>
    <w:basedOn w:val="Normal"/>
    <w:next w:val="Normal"/>
    <w:qFormat/>
    <w:rsid w:val="00FB63AD"/>
    <w:pPr>
      <w:keepNext/>
      <w:spacing w:after="240"/>
      <w:outlineLvl w:val="0"/>
    </w:pPr>
    <w:rPr>
      <w:rFonts w:ascii="HelveticaNeueLT Std" w:hAnsi="HelveticaNeueLT Std"/>
      <w:color w:val="2B5085"/>
      <w:kern w:val="28"/>
      <w:sz w:val="40"/>
      <w:szCs w:val="40"/>
    </w:rPr>
  </w:style>
  <w:style w:type="paragraph" w:styleId="Heading2">
    <w:name w:val="heading 2"/>
    <w:basedOn w:val="Normal"/>
    <w:next w:val="Normal"/>
    <w:qFormat/>
    <w:rsid w:val="00102A03"/>
    <w:pPr>
      <w:keepNext/>
      <w:spacing w:before="240"/>
      <w:outlineLvl w:val="1"/>
    </w:pPr>
    <w:rPr>
      <w:rFonts w:ascii="HelveticaNeueLT Std" w:hAnsi="HelveticaNeueLT Std"/>
      <w:caps/>
      <w:color w:val="2B5A85"/>
      <w:sz w:val="28"/>
      <w:szCs w:val="26"/>
    </w:rPr>
  </w:style>
  <w:style w:type="paragraph" w:styleId="Heading3">
    <w:name w:val="heading 3"/>
    <w:basedOn w:val="Normal"/>
    <w:next w:val="Normal"/>
    <w:link w:val="Heading3Char"/>
    <w:qFormat/>
    <w:rsid w:val="00102A03"/>
    <w:pPr>
      <w:keepNext/>
      <w:spacing w:before="240" w:after="60"/>
      <w:outlineLvl w:val="2"/>
    </w:pPr>
    <w:rPr>
      <w:rFonts w:ascii="HelveticaNeueLT Std" w:hAnsi="HelveticaNeueLT Std"/>
      <w:smallCaps/>
      <w:color w:val="2B5A85"/>
      <w:sz w:val="24"/>
      <w:szCs w:val="24"/>
    </w:rPr>
  </w:style>
  <w:style w:type="paragraph" w:styleId="Heading4">
    <w:name w:val="heading 4"/>
    <w:basedOn w:val="Heading3"/>
    <w:next w:val="Normal"/>
    <w:qFormat/>
    <w:rsid w:val="00102A03"/>
    <w:pPr>
      <w:spacing w:before="120" w:after="0"/>
      <w:outlineLvl w:val="3"/>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E28E2"/>
    <w:pPr>
      <w:tabs>
        <w:tab w:val="right" w:pos="9270"/>
      </w:tabs>
      <w:spacing w:before="60" w:after="0"/>
      <w:ind w:left="86"/>
    </w:pPr>
    <w:rPr>
      <w:rFonts w:ascii="HelveticaNeueLT Std" w:hAnsi="HelveticaNeueLT Std"/>
      <w:color w:val="2B5A85"/>
      <w:spacing w:val="9"/>
      <w:sz w:val="16"/>
      <w:szCs w:val="16"/>
    </w:rPr>
  </w:style>
  <w:style w:type="paragraph" w:styleId="FootnoteText">
    <w:name w:val="footnote text"/>
    <w:basedOn w:val="Normal"/>
    <w:link w:val="FootnoteTextChar"/>
    <w:uiPriority w:val="99"/>
    <w:rsid w:val="003E28E2"/>
    <w:pPr>
      <w:spacing w:after="80"/>
      <w:ind w:left="216" w:hanging="216"/>
    </w:pPr>
    <w:rPr>
      <w:rFonts w:ascii="HelveticaNeueLT Std" w:hAnsi="HelveticaNeueLT Std"/>
      <w:sz w:val="16"/>
    </w:rPr>
  </w:style>
  <w:style w:type="paragraph" w:customStyle="1" w:styleId="CoverTitle">
    <w:name w:val="Cover Title"/>
    <w:basedOn w:val="Normal"/>
    <w:rsid w:val="0050775D"/>
    <w:pPr>
      <w:spacing w:after="600" w:line="720" w:lineRule="exact"/>
    </w:pPr>
    <w:rPr>
      <w:rFonts w:ascii="HelveticaNeueLT Std" w:hAnsi="HelveticaNeueLT Std" w:cs="Arial"/>
      <w:color w:val="2B5A85"/>
      <w:sz w:val="52"/>
      <w:szCs w:val="60"/>
    </w:rPr>
  </w:style>
  <w:style w:type="paragraph" w:styleId="TableofFigures">
    <w:name w:val="table of figures"/>
    <w:aliases w:val="Table"/>
    <w:basedOn w:val="Normal"/>
    <w:next w:val="Normal"/>
    <w:semiHidden/>
    <w:rsid w:val="003E28E2"/>
    <w:rPr>
      <w:sz w:val="20"/>
    </w:rPr>
  </w:style>
  <w:style w:type="paragraph" w:styleId="TOC1">
    <w:name w:val="toc 1"/>
    <w:basedOn w:val="Heading1"/>
    <w:next w:val="Normal"/>
    <w:uiPriority w:val="39"/>
    <w:rsid w:val="003E28E2"/>
    <w:pPr>
      <w:tabs>
        <w:tab w:val="right" w:pos="9360"/>
      </w:tabs>
      <w:spacing w:before="240" w:after="60"/>
    </w:pPr>
    <w:rPr>
      <w:sz w:val="28"/>
    </w:rPr>
  </w:style>
  <w:style w:type="paragraph" w:styleId="TOC2">
    <w:name w:val="toc 2"/>
    <w:basedOn w:val="Heading2"/>
    <w:next w:val="Normal"/>
    <w:uiPriority w:val="39"/>
    <w:rsid w:val="003E28E2"/>
    <w:pPr>
      <w:tabs>
        <w:tab w:val="right" w:leader="dot" w:pos="9360"/>
      </w:tabs>
      <w:spacing w:before="60" w:after="60"/>
    </w:pPr>
    <w:rPr>
      <w:sz w:val="20"/>
    </w:rPr>
  </w:style>
  <w:style w:type="paragraph" w:styleId="TOC3">
    <w:name w:val="toc 3"/>
    <w:basedOn w:val="Heading3"/>
    <w:next w:val="Normal"/>
    <w:uiPriority w:val="39"/>
    <w:rsid w:val="003E28E2"/>
    <w:pPr>
      <w:tabs>
        <w:tab w:val="right" w:leader="dot" w:pos="9360"/>
      </w:tabs>
      <w:spacing w:before="60"/>
      <w:ind w:left="475"/>
    </w:pPr>
    <w:rPr>
      <w:smallCaps w:val="0"/>
      <w:sz w:val="20"/>
      <w:szCs w:val="22"/>
    </w:rPr>
  </w:style>
  <w:style w:type="paragraph" w:customStyle="1" w:styleId="TableHeading">
    <w:name w:val="Table Heading"/>
    <w:basedOn w:val="Normal"/>
    <w:rsid w:val="00102A03"/>
    <w:pPr>
      <w:spacing w:after="0"/>
    </w:pPr>
    <w:rPr>
      <w:rFonts w:ascii="HelveticaNeueLT Std" w:eastAsia="MinioMM_485 SB 585 NO 11 OP" w:hAnsi="HelveticaNeueLT Std"/>
      <w:b/>
      <w:color w:val="2B5A85"/>
      <w:sz w:val="18"/>
    </w:rPr>
  </w:style>
  <w:style w:type="paragraph" w:customStyle="1" w:styleId="TableText">
    <w:name w:val="Table Text"/>
    <w:basedOn w:val="Normal"/>
    <w:rsid w:val="003E28E2"/>
    <w:pPr>
      <w:spacing w:after="0"/>
    </w:pPr>
    <w:rPr>
      <w:rFonts w:ascii="HelveticaNeueLT Std" w:eastAsia="MinioMM_485 SB 585 NO 11 OP" w:hAnsi="HelveticaNeueLT Std"/>
      <w:color w:val="2B5A85"/>
      <w:sz w:val="18"/>
      <w:szCs w:val="18"/>
    </w:rPr>
  </w:style>
  <w:style w:type="paragraph" w:customStyle="1" w:styleId="TableTitle">
    <w:name w:val="Table Title"/>
    <w:basedOn w:val="Normal"/>
    <w:link w:val="TableTitleChar"/>
    <w:rsid w:val="009E38AF"/>
    <w:pPr>
      <w:spacing w:before="120" w:after="60"/>
    </w:pPr>
    <w:rPr>
      <w:rFonts w:ascii="HelveticaNeueLT Std" w:hAnsi="HelveticaNeueLT Std"/>
      <w:b/>
      <w:caps/>
      <w:color w:val="2B5A85"/>
      <w:sz w:val="18"/>
      <w:szCs w:val="18"/>
    </w:rPr>
  </w:style>
  <w:style w:type="paragraph" w:customStyle="1" w:styleId="FigureTitle">
    <w:name w:val="Figure Title"/>
    <w:basedOn w:val="TableTitle"/>
    <w:rsid w:val="009E38AF"/>
  </w:style>
  <w:style w:type="paragraph" w:styleId="Header">
    <w:name w:val="header"/>
    <w:basedOn w:val="Normal"/>
    <w:rsid w:val="003E28E2"/>
    <w:pPr>
      <w:tabs>
        <w:tab w:val="center" w:pos="4320"/>
        <w:tab w:val="right" w:pos="8640"/>
      </w:tabs>
    </w:pPr>
  </w:style>
  <w:style w:type="paragraph" w:customStyle="1" w:styleId="TextBox">
    <w:name w:val="Text Box"/>
    <w:basedOn w:val="Normal"/>
    <w:rsid w:val="00E472BF"/>
    <w:pPr>
      <w:framePr w:w="3600" w:hSpace="288" w:vSpace="144" w:wrap="around" w:vAnchor="text" w:hAnchor="text" w:xAlign="right" w:y="1"/>
      <w:numPr>
        <w:numId w:val="5"/>
      </w:numPr>
      <w:pBdr>
        <w:top w:val="single" w:sz="18" w:space="6" w:color="2B5A85"/>
        <w:bottom w:val="single" w:sz="18" w:space="6" w:color="2B5A85"/>
      </w:pBdr>
      <w:tabs>
        <w:tab w:val="clear" w:pos="216"/>
        <w:tab w:val="num" w:pos="288"/>
      </w:tabs>
      <w:spacing w:before="60" w:after="0"/>
      <w:ind w:left="288" w:hanging="288"/>
    </w:pPr>
    <w:rPr>
      <w:rFonts w:ascii="HelveticaNeueLT Std" w:hAnsi="HelveticaNeueLT Std"/>
      <w:color w:val="2B5A85"/>
      <w:sz w:val="18"/>
      <w:szCs w:val="18"/>
    </w:rPr>
  </w:style>
  <w:style w:type="paragraph" w:customStyle="1" w:styleId="CoverText2">
    <w:name w:val="Cover Text 2"/>
    <w:basedOn w:val="Normal"/>
    <w:rsid w:val="003E28E2"/>
    <w:pPr>
      <w:spacing w:after="400" w:line="320" w:lineRule="exact"/>
    </w:pPr>
    <w:rPr>
      <w:rFonts w:ascii="HelveticaNeueLT Std" w:hAnsi="HelveticaNeueLT Std" w:cs="Arial"/>
      <w:color w:val="2B5A85"/>
      <w:sz w:val="28"/>
      <w:szCs w:val="28"/>
    </w:rPr>
  </w:style>
  <w:style w:type="paragraph" w:customStyle="1" w:styleId="CoverText1">
    <w:name w:val="Cover Text 1"/>
    <w:basedOn w:val="Normal"/>
    <w:rsid w:val="003E28E2"/>
    <w:pPr>
      <w:spacing w:after="0"/>
    </w:pPr>
    <w:rPr>
      <w:rFonts w:ascii="HelveticaNeueLT Std" w:hAnsi="HelveticaNeueLT Std" w:cs="Arial"/>
      <w:color w:val="2B5A85"/>
      <w:sz w:val="40"/>
      <w:szCs w:val="40"/>
    </w:rPr>
  </w:style>
  <w:style w:type="character" w:styleId="FollowedHyperlink">
    <w:name w:val="FollowedHyperlink"/>
    <w:rsid w:val="003E28E2"/>
    <w:rPr>
      <w:color w:val="800080"/>
      <w:u w:val="single"/>
    </w:rPr>
  </w:style>
  <w:style w:type="paragraph" w:styleId="BalloonText">
    <w:name w:val="Balloon Text"/>
    <w:basedOn w:val="Normal"/>
    <w:semiHidden/>
    <w:rsid w:val="003E28E2"/>
    <w:rPr>
      <w:rFonts w:ascii="Tahoma" w:hAnsi="Tahoma" w:cs="Tahoma"/>
      <w:sz w:val="16"/>
      <w:szCs w:val="16"/>
    </w:rPr>
  </w:style>
  <w:style w:type="paragraph" w:customStyle="1" w:styleId="AdvancingHumanProsperity">
    <w:name w:val="Advancing Human Prosperity"/>
    <w:basedOn w:val="Normal"/>
    <w:rsid w:val="003E28E2"/>
    <w:pPr>
      <w:tabs>
        <w:tab w:val="left" w:pos="6000"/>
        <w:tab w:val="right" w:pos="8640"/>
      </w:tabs>
      <w:spacing w:before="40" w:after="0"/>
      <w:ind w:left="6005" w:hanging="2405"/>
    </w:pPr>
    <w:rPr>
      <w:rFonts w:ascii="HelveticaNeueLT Std" w:hAnsi="HelveticaNeueLT Std" w:cs="Arial"/>
      <w:color w:val="6C4713"/>
      <w:sz w:val="16"/>
      <w:szCs w:val="14"/>
    </w:rPr>
  </w:style>
  <w:style w:type="paragraph" w:customStyle="1" w:styleId="BulletLast">
    <w:name w:val="Bullet Last"/>
    <w:basedOn w:val="Bullet1"/>
    <w:next w:val="Normal"/>
    <w:qFormat/>
    <w:rsid w:val="00E828C2"/>
    <w:pPr>
      <w:spacing w:after="120"/>
    </w:pPr>
  </w:style>
  <w:style w:type="character" w:styleId="FootnoteReference">
    <w:name w:val="footnote reference"/>
    <w:uiPriority w:val="99"/>
    <w:rsid w:val="003E28E2"/>
    <w:rPr>
      <w:vertAlign w:val="superscript"/>
    </w:rPr>
  </w:style>
  <w:style w:type="character" w:styleId="CommentReference">
    <w:name w:val="annotation reference"/>
    <w:semiHidden/>
    <w:rsid w:val="003E28E2"/>
    <w:rPr>
      <w:sz w:val="16"/>
      <w:szCs w:val="16"/>
    </w:rPr>
  </w:style>
  <w:style w:type="paragraph" w:styleId="CommentText">
    <w:name w:val="annotation text"/>
    <w:basedOn w:val="Normal"/>
    <w:semiHidden/>
    <w:rsid w:val="003E28E2"/>
    <w:rPr>
      <w:sz w:val="20"/>
    </w:rPr>
  </w:style>
  <w:style w:type="paragraph" w:styleId="CommentSubject">
    <w:name w:val="annotation subject"/>
    <w:basedOn w:val="CommentText"/>
    <w:next w:val="CommentText"/>
    <w:semiHidden/>
    <w:rsid w:val="003E28E2"/>
    <w:rPr>
      <w:b/>
      <w:bCs/>
    </w:rPr>
  </w:style>
  <w:style w:type="paragraph" w:customStyle="1" w:styleId="CoverText3">
    <w:name w:val="Cover Text 3"/>
    <w:basedOn w:val="Normal"/>
    <w:rsid w:val="003E28E2"/>
    <w:rPr>
      <w:rFonts w:ascii="HelveticaNeueLT Std" w:hAnsi="HelveticaNeueLT Std"/>
      <w:color w:val="2B5A85"/>
      <w:szCs w:val="24"/>
    </w:rPr>
  </w:style>
  <w:style w:type="character" w:styleId="Hyperlink">
    <w:name w:val="Hyperlink"/>
    <w:uiPriority w:val="99"/>
    <w:rsid w:val="003E28E2"/>
    <w:rPr>
      <w:color w:val="0000FF"/>
      <w:u w:val="single"/>
    </w:rPr>
  </w:style>
  <w:style w:type="table" w:styleId="TableGrid">
    <w:name w:val="Table Grid"/>
    <w:basedOn w:val="TableNormal"/>
    <w:uiPriority w:val="59"/>
    <w:rsid w:val="00383AD4"/>
    <w:rPr>
      <w:rFonts w:ascii="HelveticaNeueLT Std" w:hAnsi="HelveticaNeueLT Std"/>
      <w:color w:val="2B5A85"/>
      <w:sz w:val="18"/>
      <w:szCs w:val="18"/>
    </w:rPr>
    <w:tblPr>
      <w:tblBorders>
        <w:bottom w:val="single" w:sz="18" w:space="0" w:color="2B5A85"/>
        <w:insideH w:val="single" w:sz="4" w:space="0" w:color="2B5A85"/>
        <w:insideV w:val="single" w:sz="4" w:space="0" w:color="2B5A85"/>
      </w:tblBorders>
      <w:tblCellMar>
        <w:top w:w="43" w:type="dxa"/>
        <w:left w:w="115" w:type="dxa"/>
        <w:bottom w:w="43" w:type="dxa"/>
        <w:right w:w="115" w:type="dxa"/>
      </w:tblCellMar>
    </w:tblPr>
    <w:tblStylePr w:type="firstRow">
      <w:pPr>
        <w:jc w:val="left"/>
      </w:pPr>
      <w:rPr>
        <w:rFonts w:ascii="Cambria" w:hAnsi="Cambria"/>
        <w:b/>
        <w:sz w:val="18"/>
      </w:rPr>
      <w:tblPr/>
      <w:tcPr>
        <w:tcBorders>
          <w:top w:val="single" w:sz="18" w:space="0" w:color="2B5A85"/>
          <w:left w:val="nil"/>
          <w:bottom w:val="single" w:sz="18" w:space="0" w:color="2B5A85"/>
          <w:right w:val="nil"/>
          <w:insideH w:val="nil"/>
          <w:insideV w:val="single" w:sz="4" w:space="0" w:color="2B5A85"/>
          <w:tl2br w:val="nil"/>
          <w:tr2bl w:val="nil"/>
        </w:tcBorders>
      </w:tcPr>
    </w:tblStylePr>
  </w:style>
  <w:style w:type="character" w:customStyle="1" w:styleId="TableTitleChar">
    <w:name w:val="Table Title Char"/>
    <w:link w:val="TableTitle"/>
    <w:rsid w:val="009E38AF"/>
    <w:rPr>
      <w:rFonts w:ascii="HelveticaNeueLT Std" w:hAnsi="HelveticaNeueLT Std"/>
      <w:b/>
      <w:caps/>
      <w:color w:val="2B5A85"/>
      <w:sz w:val="18"/>
      <w:szCs w:val="18"/>
    </w:rPr>
  </w:style>
  <w:style w:type="paragraph" w:customStyle="1" w:styleId="FooterPageNumber">
    <w:name w:val="Footer Page Number"/>
    <w:basedOn w:val="Footer"/>
    <w:link w:val="FooterPageNumberChar"/>
    <w:rsid w:val="003C310E"/>
    <w:rPr>
      <w:sz w:val="24"/>
      <w:szCs w:val="24"/>
    </w:rPr>
  </w:style>
  <w:style w:type="character" w:customStyle="1" w:styleId="FooterChar">
    <w:name w:val="Footer Char"/>
    <w:link w:val="Footer"/>
    <w:uiPriority w:val="99"/>
    <w:rsid w:val="003C310E"/>
    <w:rPr>
      <w:rFonts w:ascii="HelveticaNeueLT Std" w:hAnsi="HelveticaNeueLT Std"/>
      <w:color w:val="2B5A85"/>
      <w:spacing w:val="9"/>
      <w:sz w:val="16"/>
      <w:szCs w:val="16"/>
      <w:lang w:val="en-US" w:eastAsia="en-US" w:bidi="ar-SA"/>
    </w:rPr>
  </w:style>
  <w:style w:type="character" w:customStyle="1" w:styleId="FooterPageNumberChar">
    <w:name w:val="Footer Page Number Char"/>
    <w:link w:val="FooterPageNumber"/>
    <w:rsid w:val="003C310E"/>
    <w:rPr>
      <w:rFonts w:ascii="HelveticaNeueLT Std" w:hAnsi="HelveticaNeueLT Std"/>
      <w:color w:val="2B5A85"/>
      <w:spacing w:val="9"/>
      <w:sz w:val="24"/>
      <w:szCs w:val="24"/>
      <w:lang w:val="en-US" w:eastAsia="en-US" w:bidi="ar-SA"/>
    </w:rPr>
  </w:style>
  <w:style w:type="paragraph" w:customStyle="1" w:styleId="Contents">
    <w:name w:val="Contents"/>
    <w:basedOn w:val="Heading1"/>
    <w:rsid w:val="00134A24"/>
  </w:style>
  <w:style w:type="paragraph" w:customStyle="1" w:styleId="TableandFigureSubheads">
    <w:name w:val="Table and Figure Subheads"/>
    <w:basedOn w:val="Contents"/>
    <w:next w:val="Normal"/>
    <w:rsid w:val="009E38AF"/>
    <w:pPr>
      <w:spacing w:after="120"/>
    </w:pPr>
    <w:rPr>
      <w:sz w:val="28"/>
    </w:rPr>
  </w:style>
  <w:style w:type="paragraph" w:customStyle="1" w:styleId="Bullet1">
    <w:name w:val="Bullet 1"/>
    <w:basedOn w:val="Normal"/>
    <w:next w:val="BulletLast"/>
    <w:qFormat/>
    <w:rsid w:val="00E828C2"/>
    <w:pPr>
      <w:numPr>
        <w:numId w:val="6"/>
      </w:numPr>
      <w:spacing w:after="60"/>
      <w:ind w:left="360"/>
    </w:pPr>
  </w:style>
  <w:style w:type="paragraph" w:customStyle="1" w:styleId="TableBullet">
    <w:name w:val="Table Bullet"/>
    <w:basedOn w:val="TableText"/>
    <w:qFormat/>
    <w:rsid w:val="00E472BF"/>
    <w:pPr>
      <w:numPr>
        <w:numId w:val="7"/>
      </w:numPr>
      <w:ind w:left="144" w:hanging="144"/>
    </w:pPr>
  </w:style>
  <w:style w:type="paragraph" w:customStyle="1" w:styleId="Cover--Inside--Heading1">
    <w:name w:val="Cover--Inside--Heading 1"/>
    <w:basedOn w:val="Normal"/>
    <w:rsid w:val="0050775D"/>
    <w:pPr>
      <w:spacing w:before="400" w:after="160"/>
    </w:pPr>
    <w:rPr>
      <w:rFonts w:cs="Arial"/>
      <w:color w:val="2B5A85"/>
      <w:sz w:val="52"/>
      <w:szCs w:val="24"/>
    </w:rPr>
  </w:style>
  <w:style w:type="paragraph" w:styleId="TOC4">
    <w:name w:val="toc 4"/>
    <w:basedOn w:val="Normal"/>
    <w:next w:val="Normal"/>
    <w:autoRedefine/>
    <w:uiPriority w:val="39"/>
    <w:rsid w:val="00837CA7"/>
    <w:pPr>
      <w:tabs>
        <w:tab w:val="left" w:pos="1440"/>
        <w:tab w:val="right" w:leader="dot" w:pos="9360"/>
      </w:tabs>
      <w:spacing w:after="60"/>
      <w:ind w:left="360"/>
    </w:pPr>
    <w:rPr>
      <w:rFonts w:ascii="HelveticaNeueLT Std" w:hAnsi="HelveticaNeueLT Std"/>
      <w:color w:val="2B5A85"/>
      <w:sz w:val="20"/>
    </w:rPr>
  </w:style>
  <w:style w:type="paragraph" w:customStyle="1" w:styleId="Cover--Inside--Heading2">
    <w:name w:val="Cover--Inside--Heading 2"/>
    <w:basedOn w:val="Normal"/>
    <w:rsid w:val="0050775D"/>
    <w:pPr>
      <w:spacing w:before="280" w:after="160" w:line="320" w:lineRule="atLeast"/>
    </w:pPr>
    <w:rPr>
      <w:rFonts w:cs="Arial"/>
      <w:b/>
      <w:caps/>
      <w:color w:val="2B5A85"/>
      <w:sz w:val="28"/>
      <w:szCs w:val="24"/>
    </w:rPr>
  </w:style>
  <w:style w:type="paragraph" w:customStyle="1" w:styleId="Disclaimer--Inside">
    <w:name w:val="Disclaimer--Inside"/>
    <w:basedOn w:val="Normal"/>
    <w:rsid w:val="0050775D"/>
    <w:pPr>
      <w:spacing w:after="160" w:line="280" w:lineRule="exact"/>
      <w:ind w:left="1080" w:right="1080"/>
    </w:pPr>
    <w:rPr>
      <w:rFonts w:cs="Arial"/>
      <w:szCs w:val="24"/>
    </w:rPr>
  </w:style>
  <w:style w:type="paragraph" w:styleId="ListParagraph">
    <w:name w:val="List Paragraph"/>
    <w:basedOn w:val="Normal"/>
    <w:uiPriority w:val="34"/>
    <w:qFormat/>
    <w:rsid w:val="0052585C"/>
    <w:pPr>
      <w:spacing w:after="200" w:line="276" w:lineRule="auto"/>
      <w:ind w:left="720"/>
      <w:contextualSpacing/>
    </w:pPr>
    <w:rPr>
      <w:rFonts w:asciiTheme="minorHAnsi" w:eastAsiaTheme="minorHAnsi" w:hAnsiTheme="minorHAnsi" w:cstheme="minorBidi"/>
      <w:szCs w:val="22"/>
    </w:rPr>
  </w:style>
  <w:style w:type="paragraph" w:styleId="Caption">
    <w:name w:val="caption"/>
    <w:basedOn w:val="Normal"/>
    <w:next w:val="Normal"/>
    <w:uiPriority w:val="35"/>
    <w:unhideWhenUsed/>
    <w:qFormat/>
    <w:rsid w:val="005C04C0"/>
    <w:pPr>
      <w:spacing w:after="200"/>
    </w:pPr>
    <w:rPr>
      <w:rFonts w:asciiTheme="minorHAnsi" w:eastAsiaTheme="minorHAnsi" w:hAnsiTheme="minorHAnsi" w:cstheme="minorBidi"/>
      <w:b/>
      <w:bCs/>
      <w:color w:val="4F81BD" w:themeColor="accent1"/>
      <w:sz w:val="18"/>
      <w:szCs w:val="18"/>
    </w:rPr>
  </w:style>
  <w:style w:type="paragraph" w:styleId="EndnoteText">
    <w:name w:val="endnote text"/>
    <w:basedOn w:val="Normal"/>
    <w:link w:val="EndnoteTextChar"/>
    <w:uiPriority w:val="99"/>
    <w:unhideWhenUsed/>
    <w:rsid w:val="005C04C0"/>
    <w:pPr>
      <w:spacing w:after="0"/>
    </w:pPr>
    <w:rPr>
      <w:rFonts w:asciiTheme="minorHAnsi" w:eastAsiaTheme="minorHAnsi" w:hAnsiTheme="minorHAnsi" w:cstheme="minorBidi"/>
      <w:sz w:val="20"/>
    </w:rPr>
  </w:style>
  <w:style w:type="character" w:customStyle="1" w:styleId="EndnoteTextChar">
    <w:name w:val="Endnote Text Char"/>
    <w:basedOn w:val="DefaultParagraphFont"/>
    <w:link w:val="EndnoteText"/>
    <w:uiPriority w:val="99"/>
    <w:rsid w:val="005C04C0"/>
    <w:rPr>
      <w:rFonts w:asciiTheme="minorHAnsi" w:eastAsiaTheme="minorHAnsi" w:hAnsiTheme="minorHAnsi" w:cstheme="minorBidi"/>
    </w:rPr>
  </w:style>
  <w:style w:type="character" w:styleId="EndnoteReference">
    <w:name w:val="endnote reference"/>
    <w:basedOn w:val="DefaultParagraphFont"/>
    <w:uiPriority w:val="99"/>
    <w:unhideWhenUsed/>
    <w:rsid w:val="005C04C0"/>
    <w:rPr>
      <w:vertAlign w:val="superscript"/>
    </w:rPr>
  </w:style>
  <w:style w:type="paragraph" w:customStyle="1" w:styleId="FigureTitle1">
    <w:name w:val="Figure Title 1"/>
    <w:basedOn w:val="Normal"/>
    <w:rsid w:val="00C444E7"/>
    <w:pPr>
      <w:spacing w:before="160" w:after="0"/>
    </w:pPr>
    <w:rPr>
      <w:rFonts w:cs="Arial"/>
      <w:b/>
      <w:caps/>
      <w:szCs w:val="24"/>
    </w:rPr>
  </w:style>
  <w:style w:type="character" w:customStyle="1" w:styleId="FootnoteTextChar">
    <w:name w:val="Footnote Text Char"/>
    <w:basedOn w:val="DefaultParagraphFont"/>
    <w:link w:val="FootnoteText"/>
    <w:uiPriority w:val="99"/>
    <w:rsid w:val="00521E33"/>
    <w:rPr>
      <w:rFonts w:ascii="HelveticaNeueLT Std" w:hAnsi="HelveticaNeueLT Std"/>
      <w:sz w:val="16"/>
    </w:rPr>
  </w:style>
  <w:style w:type="character" w:customStyle="1" w:styleId="Heading3Char">
    <w:name w:val="Heading 3 Char"/>
    <w:basedOn w:val="DefaultParagraphFont"/>
    <w:link w:val="Heading3"/>
    <w:rsid w:val="00521E33"/>
    <w:rPr>
      <w:rFonts w:ascii="HelveticaNeueLT Std" w:hAnsi="HelveticaNeueLT Std"/>
      <w:smallCaps/>
      <w:color w:val="2B5A85"/>
      <w:sz w:val="24"/>
      <w:szCs w:val="24"/>
    </w:rPr>
  </w:style>
  <w:style w:type="paragraph" w:customStyle="1" w:styleId="TableTitle1">
    <w:name w:val="Table Title 1"/>
    <w:basedOn w:val="Normal"/>
    <w:rsid w:val="00521E33"/>
    <w:pPr>
      <w:spacing w:before="160" w:after="160"/>
    </w:pPr>
    <w:rPr>
      <w:rFonts w:cs="Arial"/>
      <w:b/>
      <w:caps/>
      <w:szCs w:val="24"/>
    </w:rPr>
  </w:style>
  <w:style w:type="character" w:styleId="PageNumber">
    <w:name w:val="page number"/>
    <w:basedOn w:val="DefaultParagraphFont"/>
    <w:rsid w:val="00521E33"/>
  </w:style>
  <w:style w:type="paragraph" w:customStyle="1" w:styleId="FootnoteNumberText">
    <w:name w:val="Footnote Number &amp; Text"/>
    <w:basedOn w:val="Normal"/>
    <w:rsid w:val="00521E33"/>
    <w:pPr>
      <w:spacing w:after="100" w:line="180" w:lineRule="exact"/>
      <w:ind w:left="158" w:hanging="158"/>
    </w:pPr>
    <w:rPr>
      <w:rFonts w:cs="Arial"/>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chart" Target="charts/chart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30.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latin typeface="Gill Sans MT" panose="020B0502020104020203" pitchFamily="34" charset="0"/>
              </a:defRPr>
            </a:pPr>
            <a:r>
              <a:rPr lang="en-US" sz="1100">
                <a:latin typeface="Gill Sans MT" panose="020B0502020104020203" pitchFamily="34" charset="0"/>
              </a:rPr>
              <a:t>HEA</a:t>
            </a:r>
            <a:r>
              <a:rPr lang="en-US" sz="1100" baseline="0">
                <a:latin typeface="Gill Sans MT" panose="020B0502020104020203" pitchFamily="34" charset="0"/>
              </a:rPr>
              <a:t> Baseline</a:t>
            </a:r>
          </a:p>
          <a:p>
            <a:pPr>
              <a:defRPr>
                <a:latin typeface="Gill Sans MT" panose="020B0502020104020203" pitchFamily="34" charset="0"/>
              </a:defRPr>
            </a:pPr>
            <a:r>
              <a:rPr lang="en-US" sz="1100" baseline="0">
                <a:latin typeface="Gill Sans MT" panose="020B0502020104020203" pitchFamily="34" charset="0"/>
              </a:rPr>
              <a:t>Reported Montly Savings </a:t>
            </a:r>
          </a:p>
          <a:p>
            <a:pPr>
              <a:defRPr>
                <a:latin typeface="Gill Sans MT" panose="020B0502020104020203" pitchFamily="34" charset="0"/>
              </a:defRPr>
            </a:pPr>
            <a:r>
              <a:rPr lang="en-US" sz="1000" b="0" baseline="0">
                <a:latin typeface="Gill Sans MT" panose="020B0502020104020203" pitchFamily="34" charset="0"/>
              </a:rPr>
              <a:t>(among households that save)</a:t>
            </a:r>
            <a:endParaRPr lang="en-US" sz="1000" b="0">
              <a:latin typeface="Gill Sans MT" panose="020B0502020104020203" pitchFamily="34" charset="0"/>
            </a:endParaRPr>
          </a:p>
        </c:rich>
      </c:tx>
      <c:overlay val="0"/>
    </c:title>
    <c:autoTitleDeleted val="0"/>
    <c:plotArea>
      <c:layout/>
      <c:pieChart>
        <c:varyColors val="1"/>
        <c:ser>
          <c:idx val="0"/>
          <c:order val="0"/>
          <c:explosion val="25"/>
          <c:dLbls>
            <c:txPr>
              <a:bodyPr/>
              <a:lstStyle/>
              <a:p>
                <a:pPr>
                  <a:defRPr>
                    <a:latin typeface="Gill Sans MT" panose="020B0502020104020203" pitchFamily="34" charset="0"/>
                  </a:defRPr>
                </a:pPr>
                <a:endParaRPr lang="en-US"/>
              </a:p>
            </c:txPr>
            <c:showLegendKey val="0"/>
            <c:showVal val="0"/>
            <c:showCatName val="0"/>
            <c:showSerName val="0"/>
            <c:showPercent val="1"/>
            <c:showBubbleSize val="0"/>
            <c:showLeaderLines val="1"/>
          </c:dLbls>
          <c:cat>
            <c:strRef>
              <c:f>'Monthly savings'!$C$11:$C$16</c:f>
              <c:strCache>
                <c:ptCount val="6"/>
                <c:pt idx="0">
                  <c:v>Tsh0-3,000</c:v>
                </c:pt>
                <c:pt idx="1">
                  <c:v>Tsh3,001-5000</c:v>
                </c:pt>
                <c:pt idx="2">
                  <c:v>Tsh5,001-10,000</c:v>
                </c:pt>
                <c:pt idx="3">
                  <c:v>Tsh10,001-25,000</c:v>
                </c:pt>
                <c:pt idx="4">
                  <c:v>Tsh25,001-100,000</c:v>
                </c:pt>
                <c:pt idx="5">
                  <c:v>More than Tsh100,000</c:v>
                </c:pt>
              </c:strCache>
            </c:strRef>
          </c:cat>
          <c:val>
            <c:numRef>
              <c:f>'Monthly savings'!$D$11:$D$16</c:f>
              <c:numCache>
                <c:formatCode>0%</c:formatCode>
                <c:ptCount val="6"/>
                <c:pt idx="0">
                  <c:v>0.18</c:v>
                </c:pt>
                <c:pt idx="1">
                  <c:v>0.27</c:v>
                </c:pt>
                <c:pt idx="2">
                  <c:v>0.28000000000000003</c:v>
                </c:pt>
                <c:pt idx="3">
                  <c:v>0.15</c:v>
                </c:pt>
                <c:pt idx="4">
                  <c:v>0.1</c:v>
                </c:pt>
                <c:pt idx="5">
                  <c:v>0.02</c:v>
                </c:pt>
              </c:numCache>
            </c:numRef>
          </c:val>
        </c:ser>
        <c:dLbls>
          <c:showLegendKey val="0"/>
          <c:showVal val="0"/>
          <c:showCatName val="0"/>
          <c:showSerName val="0"/>
          <c:showPercent val="1"/>
          <c:showBubbleSize val="0"/>
          <c:showLeaderLines val="1"/>
        </c:dLbls>
        <c:firstSliceAng val="0"/>
      </c:pieChart>
    </c:plotArea>
    <c:legend>
      <c:legendPos val="r"/>
      <c:layout>
        <c:manualLayout>
          <c:xMode val="edge"/>
          <c:yMode val="edge"/>
          <c:x val="0.63387978142076506"/>
          <c:y val="0.35304419608839216"/>
          <c:w val="0.34426229508196721"/>
          <c:h val="0.54568537803742279"/>
        </c:manualLayout>
      </c:layout>
      <c:overlay val="0"/>
      <c:txPr>
        <a:bodyPr/>
        <a:lstStyle/>
        <a:p>
          <a:pPr>
            <a:defRPr sz="900">
              <a:latin typeface="Gill Sans MT" panose="020B0502020104020203" pitchFamily="34" charset="0"/>
              <a:cs typeface="Helvetica" panose="020B0604020202020204" pitchFamily="34" charset="0"/>
            </a:defRPr>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latin typeface="Gill Sans MT" panose="020B0502020104020203" pitchFamily="34" charset="0"/>
              </a:defRPr>
            </a:pPr>
            <a:r>
              <a:rPr lang="en-US" sz="1000">
                <a:latin typeface="Gill Sans MT" panose="020B0502020104020203" pitchFamily="34" charset="0"/>
              </a:rPr>
              <a:t>HEA Endline</a:t>
            </a:r>
          </a:p>
          <a:p>
            <a:pPr>
              <a:defRPr sz="1000">
                <a:latin typeface="Gill Sans MT" panose="020B0502020104020203" pitchFamily="34" charset="0"/>
              </a:defRPr>
            </a:pPr>
            <a:r>
              <a:rPr lang="en-US" sz="1000">
                <a:latin typeface="Gill Sans MT" panose="020B0502020104020203" pitchFamily="34" charset="0"/>
              </a:rPr>
              <a:t>Reported Monthly Savings</a:t>
            </a:r>
          </a:p>
          <a:p>
            <a:pPr>
              <a:defRPr sz="1000">
                <a:latin typeface="Gill Sans MT" panose="020B0502020104020203" pitchFamily="34" charset="0"/>
              </a:defRPr>
            </a:pPr>
            <a:r>
              <a:rPr lang="en-US" sz="1000" b="0">
                <a:latin typeface="Gill Sans MT" panose="020B0502020104020203" pitchFamily="34" charset="0"/>
              </a:rPr>
              <a:t>(among</a:t>
            </a:r>
            <a:r>
              <a:rPr lang="en-US" sz="1000" b="0" baseline="0">
                <a:latin typeface="Gill Sans MT" panose="020B0502020104020203" pitchFamily="34" charset="0"/>
              </a:rPr>
              <a:t> households that save)</a:t>
            </a:r>
            <a:endParaRPr lang="en-US" sz="1000" b="0">
              <a:latin typeface="Gill Sans MT" panose="020B0502020104020203" pitchFamily="34" charset="0"/>
            </a:endParaRPr>
          </a:p>
        </c:rich>
      </c:tx>
      <c:layout>
        <c:manualLayout>
          <c:xMode val="edge"/>
          <c:yMode val="edge"/>
          <c:x val="0.27406694533553677"/>
          <c:y val="7.8703703703703706E-2"/>
        </c:manualLayout>
      </c:layout>
      <c:overlay val="0"/>
    </c:title>
    <c:autoTitleDeleted val="0"/>
    <c:plotArea>
      <c:layout/>
      <c:pieChart>
        <c:varyColors val="1"/>
        <c:ser>
          <c:idx val="0"/>
          <c:order val="0"/>
          <c:explosion val="25"/>
          <c:dLbls>
            <c:txPr>
              <a:bodyPr/>
              <a:lstStyle/>
              <a:p>
                <a:pPr>
                  <a:defRPr sz="900">
                    <a:latin typeface="Gill Sans MT" panose="020B0502020104020203" pitchFamily="34" charset="0"/>
                  </a:defRPr>
                </a:pPr>
                <a:endParaRPr lang="en-US"/>
              </a:p>
            </c:txPr>
            <c:showLegendKey val="0"/>
            <c:showVal val="0"/>
            <c:showCatName val="0"/>
            <c:showSerName val="0"/>
            <c:showPercent val="1"/>
            <c:showBubbleSize val="0"/>
            <c:showLeaderLines val="1"/>
          </c:dLbls>
          <c:cat>
            <c:strRef>
              <c:f>'Monthly savings'!$C$19:$C$24</c:f>
              <c:strCache>
                <c:ptCount val="6"/>
                <c:pt idx="0">
                  <c:v>Tsh0-3,000</c:v>
                </c:pt>
                <c:pt idx="1">
                  <c:v>Tsh3,001-5000</c:v>
                </c:pt>
                <c:pt idx="2">
                  <c:v>Tsh5,001-10,000</c:v>
                </c:pt>
                <c:pt idx="3">
                  <c:v>Tsh10,001-25,000</c:v>
                </c:pt>
                <c:pt idx="4">
                  <c:v>Tsh25,001-100,000</c:v>
                </c:pt>
                <c:pt idx="5">
                  <c:v>More than Tsh100,000</c:v>
                </c:pt>
              </c:strCache>
            </c:strRef>
          </c:cat>
          <c:val>
            <c:numRef>
              <c:f>'Monthly savings'!$D$19:$D$24</c:f>
              <c:numCache>
                <c:formatCode>0%</c:formatCode>
                <c:ptCount val="6"/>
                <c:pt idx="0">
                  <c:v>0.08</c:v>
                </c:pt>
                <c:pt idx="1">
                  <c:v>0.12</c:v>
                </c:pt>
                <c:pt idx="2">
                  <c:v>0.27</c:v>
                </c:pt>
                <c:pt idx="3">
                  <c:v>0.34</c:v>
                </c:pt>
                <c:pt idx="4">
                  <c:v>0.15</c:v>
                </c:pt>
                <c:pt idx="5">
                  <c:v>0.04</c:v>
                </c:pt>
              </c:numCache>
            </c:numRef>
          </c:val>
        </c:ser>
        <c:dLbls>
          <c:showLegendKey val="0"/>
          <c:showVal val="0"/>
          <c:showCatName val="0"/>
          <c:showSerName val="0"/>
          <c:showPercent val="1"/>
          <c:showBubbleSize val="0"/>
          <c:showLeaderLines val="1"/>
        </c:dLbls>
        <c:firstSliceAng val="0"/>
      </c:pieChart>
    </c:plotArea>
    <c:legend>
      <c:legendPos val="r"/>
      <c:overlay val="0"/>
      <c:txPr>
        <a:bodyPr/>
        <a:lstStyle/>
        <a:p>
          <a:pPr>
            <a:defRPr sz="900">
              <a:latin typeface="Gill Sans MT" panose="020B0502020104020203" pitchFamily="34" charset="0"/>
            </a:defRPr>
          </a:pPr>
          <a:endParaRPr lang="en-US"/>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100"/>
              <a:t>Household Hunger</a:t>
            </a:r>
            <a:br>
              <a:rPr lang="en-US" sz="1100"/>
            </a:br>
            <a:r>
              <a:rPr lang="en-US" sz="1000" b="0"/>
              <a:t>(Initial vs End HEA)</a:t>
            </a:r>
          </a:p>
        </c:rich>
      </c:tx>
      <c:overlay val="0"/>
    </c:title>
    <c:autoTitleDeleted val="0"/>
    <c:plotArea>
      <c:layout/>
      <c:barChart>
        <c:barDir val="col"/>
        <c:grouping val="stacked"/>
        <c:varyColors val="0"/>
        <c:ser>
          <c:idx val="0"/>
          <c:order val="0"/>
          <c:tx>
            <c:strRef>
              <c:f>'C:\Users\cgreen\AppData\Local\Temp\notesD06208\[HHH (No Dar).xlsx]Sheet1'!$A$2</c:f>
              <c:strCache>
                <c:ptCount val="1"/>
                <c:pt idx="0">
                  <c:v>Little to No Household Hunger</c:v>
                </c:pt>
              </c:strCache>
            </c:strRef>
          </c:tx>
          <c:spPr>
            <a:solidFill>
              <a:schemeClr val="accent3"/>
            </a:solidFill>
          </c:spPr>
          <c:invertIfNegative val="0"/>
          <c:dLbls>
            <c:dLbl>
              <c:idx val="0"/>
              <c:tx>
                <c:rich>
                  <a:bodyPr/>
                  <a:lstStyle/>
                  <a:p>
                    <a:r>
                      <a:rPr lang="en-US"/>
                      <a:t>61.5%</a:t>
                    </a:r>
                  </a:p>
                </c:rich>
              </c:tx>
              <c:dLblPos val="ctr"/>
              <c:showLegendKey val="0"/>
              <c:showVal val="1"/>
              <c:showCatName val="0"/>
              <c:showSerName val="0"/>
              <c:showPercent val="0"/>
              <c:showBubbleSize val="0"/>
            </c:dLbl>
            <c:dLbl>
              <c:idx val="1"/>
              <c:tx>
                <c:rich>
                  <a:bodyPr/>
                  <a:lstStyle/>
                  <a:p>
                    <a:r>
                      <a:rPr lang="en-US"/>
                      <a:t>84.8%</a:t>
                    </a:r>
                  </a:p>
                </c:rich>
              </c:tx>
              <c:dLblPos val="ctr"/>
              <c:showLegendKey val="0"/>
              <c:showVal val="1"/>
              <c:showCatName val="0"/>
              <c:showSerName val="0"/>
              <c:showPercent val="0"/>
              <c:showBubbleSize val="0"/>
            </c:dLbl>
            <c:dLblPos val="ctr"/>
            <c:showLegendKey val="0"/>
            <c:showVal val="1"/>
            <c:showCatName val="0"/>
            <c:showSerName val="0"/>
            <c:showPercent val="0"/>
            <c:showBubbleSize val="0"/>
            <c:showLeaderLines val="0"/>
          </c:dLbls>
          <c:cat>
            <c:strRef>
              <c:f>'C:\Users\cgreen\AppData\Local\Temp\notesD06208\[HHH (No Dar).xlsx]Sheet1'!$B$1:$C$1</c:f>
              <c:strCache>
                <c:ptCount val="2"/>
                <c:pt idx="0">
                  <c:v>Initial HEA</c:v>
                </c:pt>
                <c:pt idx="1">
                  <c:v>End HEA</c:v>
                </c:pt>
              </c:strCache>
            </c:strRef>
          </c:cat>
          <c:val>
            <c:numRef>
              <c:f>'C:\Users\cgreen\AppData\Local\Temp\notesD06208\[HHH (No Dar).xlsx]Sheet1'!$B$2:$C$2</c:f>
              <c:numCache>
                <c:formatCode>0%</c:formatCode>
                <c:ptCount val="2"/>
                <c:pt idx="0" formatCode="0.00%">
                  <c:v>0.61470000000000002</c:v>
                </c:pt>
                <c:pt idx="1">
                  <c:v>0.84789999999999999</c:v>
                </c:pt>
              </c:numCache>
            </c:numRef>
          </c:val>
        </c:ser>
        <c:ser>
          <c:idx val="1"/>
          <c:order val="1"/>
          <c:tx>
            <c:strRef>
              <c:f>'C:\Users\cgreen\AppData\Local\Temp\notesD06208\[HHH (No Dar).xlsx]Sheet1'!$A$3</c:f>
              <c:strCache>
                <c:ptCount val="1"/>
                <c:pt idx="0">
                  <c:v>Moderate Household Hunger</c:v>
                </c:pt>
              </c:strCache>
            </c:strRef>
          </c:tx>
          <c:spPr>
            <a:solidFill>
              <a:schemeClr val="accent1"/>
            </a:solidFill>
          </c:spPr>
          <c:invertIfNegative val="0"/>
          <c:dLbls>
            <c:dLbl>
              <c:idx val="0"/>
              <c:tx>
                <c:rich>
                  <a:bodyPr/>
                  <a:lstStyle/>
                  <a:p>
                    <a:r>
                      <a:rPr lang="en-US"/>
                      <a:t>24.7%</a:t>
                    </a:r>
                  </a:p>
                </c:rich>
              </c:tx>
              <c:dLblPos val="ctr"/>
              <c:showLegendKey val="0"/>
              <c:showVal val="1"/>
              <c:showCatName val="0"/>
              <c:showSerName val="0"/>
              <c:showPercent val="0"/>
              <c:showBubbleSize val="0"/>
            </c:dLbl>
            <c:dLblPos val="ctr"/>
            <c:showLegendKey val="0"/>
            <c:showVal val="1"/>
            <c:showCatName val="0"/>
            <c:showSerName val="0"/>
            <c:showPercent val="0"/>
            <c:showBubbleSize val="0"/>
            <c:showLeaderLines val="0"/>
          </c:dLbls>
          <c:cat>
            <c:strRef>
              <c:f>'C:\Users\cgreen\AppData\Local\Temp\notesD06208\[HHH (No Dar).xlsx]Sheet1'!$B$1:$C$1</c:f>
              <c:strCache>
                <c:ptCount val="2"/>
                <c:pt idx="0">
                  <c:v>Initial HEA</c:v>
                </c:pt>
                <c:pt idx="1">
                  <c:v>End HEA</c:v>
                </c:pt>
              </c:strCache>
            </c:strRef>
          </c:cat>
          <c:val>
            <c:numRef>
              <c:f>'C:\Users\cgreen\AppData\Local\Temp\notesD06208\[HHH (No Dar).xlsx]Sheet1'!$B$3:$C$3</c:f>
              <c:numCache>
                <c:formatCode>0%</c:formatCode>
                <c:ptCount val="2"/>
                <c:pt idx="0" formatCode="0.00%">
                  <c:v>0.24679999999999999</c:v>
                </c:pt>
                <c:pt idx="1">
                  <c:v>0.1399</c:v>
                </c:pt>
              </c:numCache>
            </c:numRef>
          </c:val>
        </c:ser>
        <c:ser>
          <c:idx val="2"/>
          <c:order val="2"/>
          <c:tx>
            <c:strRef>
              <c:f>'C:\Users\cgreen\AppData\Local\Temp\notesD06208\[HHH (No Dar).xlsx]Sheet1'!$A$4</c:f>
              <c:strCache>
                <c:ptCount val="1"/>
                <c:pt idx="0">
                  <c:v>Severe Household Hunger</c:v>
                </c:pt>
              </c:strCache>
            </c:strRef>
          </c:tx>
          <c:spPr>
            <a:solidFill>
              <a:schemeClr val="accent2"/>
            </a:solidFill>
          </c:spPr>
          <c:invertIfNegative val="0"/>
          <c:dLbls>
            <c:dLbl>
              <c:idx val="0"/>
              <c:tx>
                <c:rich>
                  <a:bodyPr/>
                  <a:lstStyle/>
                  <a:p>
                    <a:r>
                      <a:rPr lang="en-US"/>
                      <a:t>13.9%</a:t>
                    </a:r>
                  </a:p>
                </c:rich>
              </c:tx>
              <c:dLblPos val="ctr"/>
              <c:showLegendKey val="0"/>
              <c:showVal val="1"/>
              <c:showCatName val="0"/>
              <c:showSerName val="0"/>
              <c:showPercent val="0"/>
              <c:showBubbleSize val="0"/>
            </c:dLbl>
            <c:dLbl>
              <c:idx val="1"/>
              <c:tx>
                <c:rich>
                  <a:bodyPr/>
                  <a:lstStyle/>
                  <a:p>
                    <a:r>
                      <a:rPr lang="en-US"/>
                      <a:t>1.2%</a:t>
                    </a:r>
                  </a:p>
                </c:rich>
              </c:tx>
              <c:dLblPos val="ctr"/>
              <c:showLegendKey val="0"/>
              <c:showVal val="1"/>
              <c:showCatName val="0"/>
              <c:showSerName val="0"/>
              <c:showPercent val="0"/>
              <c:showBubbleSize val="0"/>
            </c:dLbl>
            <c:dLblPos val="ctr"/>
            <c:showLegendKey val="0"/>
            <c:showVal val="1"/>
            <c:showCatName val="0"/>
            <c:showSerName val="0"/>
            <c:showPercent val="0"/>
            <c:showBubbleSize val="0"/>
            <c:showLeaderLines val="0"/>
          </c:dLbls>
          <c:cat>
            <c:strRef>
              <c:f>'C:\Users\cgreen\AppData\Local\Temp\notesD06208\[HHH (No Dar).xlsx]Sheet1'!$B$1:$C$1</c:f>
              <c:strCache>
                <c:ptCount val="2"/>
                <c:pt idx="0">
                  <c:v>Initial HEA</c:v>
                </c:pt>
                <c:pt idx="1">
                  <c:v>End HEA</c:v>
                </c:pt>
              </c:strCache>
            </c:strRef>
          </c:cat>
          <c:val>
            <c:numRef>
              <c:f>'C:\Users\cgreen\AppData\Local\Temp\notesD06208\[HHH (No Dar).xlsx]Sheet1'!$B$4:$C$4</c:f>
              <c:numCache>
                <c:formatCode>0%</c:formatCode>
                <c:ptCount val="2"/>
                <c:pt idx="0" formatCode="0.00%">
                  <c:v>0.13850000000000001</c:v>
                </c:pt>
                <c:pt idx="1">
                  <c:v>1.21E-2</c:v>
                </c:pt>
              </c:numCache>
            </c:numRef>
          </c:val>
        </c:ser>
        <c:dLbls>
          <c:dLblPos val="ctr"/>
          <c:showLegendKey val="0"/>
          <c:showVal val="1"/>
          <c:showCatName val="0"/>
          <c:showSerName val="0"/>
          <c:showPercent val="0"/>
          <c:showBubbleSize val="0"/>
        </c:dLbls>
        <c:gapWidth val="76"/>
        <c:overlap val="100"/>
        <c:axId val="175045632"/>
        <c:axId val="185103104"/>
      </c:barChart>
      <c:catAx>
        <c:axId val="175045632"/>
        <c:scaling>
          <c:orientation val="minMax"/>
        </c:scaling>
        <c:delete val="0"/>
        <c:axPos val="b"/>
        <c:majorTickMark val="out"/>
        <c:minorTickMark val="none"/>
        <c:tickLblPos val="nextTo"/>
        <c:crossAx val="185103104"/>
        <c:crosses val="autoZero"/>
        <c:auto val="1"/>
        <c:lblAlgn val="ctr"/>
        <c:lblOffset val="100"/>
        <c:noMultiLvlLbl val="0"/>
      </c:catAx>
      <c:valAx>
        <c:axId val="185103104"/>
        <c:scaling>
          <c:orientation val="minMax"/>
          <c:max val="1"/>
        </c:scaling>
        <c:delete val="0"/>
        <c:axPos val="l"/>
        <c:majorGridlines/>
        <c:numFmt formatCode="0.00%" sourceLinked="1"/>
        <c:majorTickMark val="out"/>
        <c:minorTickMark val="none"/>
        <c:tickLblPos val="nextTo"/>
        <c:crossAx val="175045632"/>
        <c:crosses val="autoZero"/>
        <c:crossBetween val="between"/>
        <c:majorUnit val="0.2"/>
      </c:valAx>
    </c:plotArea>
    <c:legend>
      <c:legendPos val="r"/>
      <c:layout>
        <c:manualLayout>
          <c:xMode val="edge"/>
          <c:yMode val="edge"/>
          <c:x val="0.64262445319335082"/>
          <c:y val="0.25253513871513728"/>
          <c:w val="0.34070888013998252"/>
          <c:h val="0.45949370814629481"/>
        </c:manualLayout>
      </c:layout>
      <c:overlay val="0"/>
    </c:legend>
    <c:plotVisOnly val="1"/>
    <c:dispBlanksAs val="gap"/>
    <c:showDLblsOverMax val="0"/>
  </c:chart>
  <c:spPr>
    <a:ln>
      <a:solidFill>
        <a:schemeClr val="tx1"/>
      </a:solidFill>
    </a:ln>
  </c:spPr>
  <c:txPr>
    <a:bodyPr/>
    <a:lstStyle/>
    <a:p>
      <a:pPr>
        <a:defRPr>
          <a:latin typeface="Gill Sans MT" panose="020B0502020104020203" pitchFamily="34" charset="0"/>
        </a:defRPr>
      </a:pPr>
      <a:endParaRPr lang="en-US"/>
    </a:p>
  </c:tx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100"/>
              <a:t>Household Hunger</a:t>
            </a:r>
            <a:br>
              <a:rPr lang="en-US" sz="1100"/>
            </a:br>
            <a:r>
              <a:rPr lang="en-US" sz="1000" b="0"/>
              <a:t>(Initial vs End HEA)</a:t>
            </a:r>
          </a:p>
        </c:rich>
      </c:tx>
      <c:overlay val="0"/>
    </c:title>
    <c:autoTitleDeleted val="0"/>
    <c:plotArea>
      <c:layout/>
      <c:barChart>
        <c:barDir val="col"/>
        <c:grouping val="stacked"/>
        <c:varyColors val="0"/>
        <c:ser>
          <c:idx val="0"/>
          <c:order val="0"/>
          <c:tx>
            <c:strRef>
              <c:f>'C:\Users\cgreen\AppData\Local\Temp\notesD06208\[HHH (No Dar).xlsx]Sheet1'!$A$2</c:f>
              <c:strCache>
                <c:ptCount val="1"/>
                <c:pt idx="0">
                  <c:v>Little to No Household Hunger</c:v>
                </c:pt>
              </c:strCache>
            </c:strRef>
          </c:tx>
          <c:spPr>
            <a:solidFill>
              <a:schemeClr val="accent3"/>
            </a:solidFill>
          </c:spPr>
          <c:invertIfNegative val="0"/>
          <c:dLbls>
            <c:dLbl>
              <c:idx val="0"/>
              <c:tx>
                <c:rich>
                  <a:bodyPr/>
                  <a:lstStyle/>
                  <a:p>
                    <a:r>
                      <a:rPr lang="en-US"/>
                      <a:t>61.5%</a:t>
                    </a:r>
                  </a:p>
                </c:rich>
              </c:tx>
              <c:dLblPos val="ctr"/>
              <c:showLegendKey val="0"/>
              <c:showVal val="1"/>
              <c:showCatName val="0"/>
              <c:showSerName val="0"/>
              <c:showPercent val="0"/>
              <c:showBubbleSize val="0"/>
            </c:dLbl>
            <c:dLbl>
              <c:idx val="1"/>
              <c:tx>
                <c:rich>
                  <a:bodyPr/>
                  <a:lstStyle/>
                  <a:p>
                    <a:r>
                      <a:rPr lang="en-US"/>
                      <a:t>84.8%</a:t>
                    </a:r>
                  </a:p>
                </c:rich>
              </c:tx>
              <c:dLblPos val="ctr"/>
              <c:showLegendKey val="0"/>
              <c:showVal val="1"/>
              <c:showCatName val="0"/>
              <c:showSerName val="0"/>
              <c:showPercent val="0"/>
              <c:showBubbleSize val="0"/>
            </c:dLbl>
            <c:dLblPos val="ctr"/>
            <c:showLegendKey val="0"/>
            <c:showVal val="1"/>
            <c:showCatName val="0"/>
            <c:showSerName val="0"/>
            <c:showPercent val="0"/>
            <c:showBubbleSize val="0"/>
            <c:showLeaderLines val="0"/>
          </c:dLbls>
          <c:cat>
            <c:strRef>
              <c:f>'C:\Users\cgreen\AppData\Local\Temp\notesD06208\[HHH (No Dar).xlsx]Sheet1'!$B$1:$C$1</c:f>
              <c:strCache>
                <c:ptCount val="2"/>
                <c:pt idx="0">
                  <c:v>Initial HEA</c:v>
                </c:pt>
                <c:pt idx="1">
                  <c:v>End HEA</c:v>
                </c:pt>
              </c:strCache>
            </c:strRef>
          </c:cat>
          <c:val>
            <c:numRef>
              <c:f>'C:\Users\cgreen\AppData\Local\Temp\notesD06208\[HHH (No Dar).xlsx]Sheet1'!$B$2:$C$2</c:f>
              <c:numCache>
                <c:formatCode>0%</c:formatCode>
                <c:ptCount val="2"/>
                <c:pt idx="0" formatCode="0.00%">
                  <c:v>0.61470000000000002</c:v>
                </c:pt>
                <c:pt idx="1">
                  <c:v>0.84789999999999999</c:v>
                </c:pt>
              </c:numCache>
            </c:numRef>
          </c:val>
        </c:ser>
        <c:ser>
          <c:idx val="1"/>
          <c:order val="1"/>
          <c:tx>
            <c:strRef>
              <c:f>'C:\Users\cgreen\AppData\Local\Temp\notesD06208\[HHH (No Dar).xlsx]Sheet1'!$A$3</c:f>
              <c:strCache>
                <c:ptCount val="1"/>
                <c:pt idx="0">
                  <c:v>Moderate Household Hunger</c:v>
                </c:pt>
              </c:strCache>
            </c:strRef>
          </c:tx>
          <c:spPr>
            <a:solidFill>
              <a:schemeClr val="accent1"/>
            </a:solidFill>
          </c:spPr>
          <c:invertIfNegative val="0"/>
          <c:dLbls>
            <c:dLbl>
              <c:idx val="0"/>
              <c:tx>
                <c:rich>
                  <a:bodyPr/>
                  <a:lstStyle/>
                  <a:p>
                    <a:r>
                      <a:rPr lang="en-US"/>
                      <a:t>24.7%</a:t>
                    </a:r>
                  </a:p>
                </c:rich>
              </c:tx>
              <c:dLblPos val="ctr"/>
              <c:showLegendKey val="0"/>
              <c:showVal val="1"/>
              <c:showCatName val="0"/>
              <c:showSerName val="0"/>
              <c:showPercent val="0"/>
              <c:showBubbleSize val="0"/>
            </c:dLbl>
            <c:dLblPos val="ctr"/>
            <c:showLegendKey val="0"/>
            <c:showVal val="1"/>
            <c:showCatName val="0"/>
            <c:showSerName val="0"/>
            <c:showPercent val="0"/>
            <c:showBubbleSize val="0"/>
            <c:showLeaderLines val="0"/>
          </c:dLbls>
          <c:cat>
            <c:strRef>
              <c:f>'C:\Users\cgreen\AppData\Local\Temp\notesD06208\[HHH (No Dar).xlsx]Sheet1'!$B$1:$C$1</c:f>
              <c:strCache>
                <c:ptCount val="2"/>
                <c:pt idx="0">
                  <c:v>Initial HEA</c:v>
                </c:pt>
                <c:pt idx="1">
                  <c:v>End HEA</c:v>
                </c:pt>
              </c:strCache>
            </c:strRef>
          </c:cat>
          <c:val>
            <c:numRef>
              <c:f>'C:\Users\cgreen\AppData\Local\Temp\notesD06208\[HHH (No Dar).xlsx]Sheet1'!$B$3:$C$3</c:f>
              <c:numCache>
                <c:formatCode>0%</c:formatCode>
                <c:ptCount val="2"/>
                <c:pt idx="0" formatCode="0.00%">
                  <c:v>0.24679999999999999</c:v>
                </c:pt>
                <c:pt idx="1">
                  <c:v>0.1399</c:v>
                </c:pt>
              </c:numCache>
            </c:numRef>
          </c:val>
        </c:ser>
        <c:ser>
          <c:idx val="2"/>
          <c:order val="2"/>
          <c:tx>
            <c:strRef>
              <c:f>'C:\Users\cgreen\AppData\Local\Temp\notesD06208\[HHH (No Dar).xlsx]Sheet1'!$A$4</c:f>
              <c:strCache>
                <c:ptCount val="1"/>
                <c:pt idx="0">
                  <c:v>Severe Household Hunger</c:v>
                </c:pt>
              </c:strCache>
            </c:strRef>
          </c:tx>
          <c:spPr>
            <a:solidFill>
              <a:schemeClr val="accent2"/>
            </a:solidFill>
          </c:spPr>
          <c:invertIfNegative val="0"/>
          <c:dLbls>
            <c:dLbl>
              <c:idx val="0"/>
              <c:tx>
                <c:rich>
                  <a:bodyPr/>
                  <a:lstStyle/>
                  <a:p>
                    <a:r>
                      <a:rPr lang="en-US"/>
                      <a:t>13.9%</a:t>
                    </a:r>
                  </a:p>
                </c:rich>
              </c:tx>
              <c:dLblPos val="ctr"/>
              <c:showLegendKey val="0"/>
              <c:showVal val="1"/>
              <c:showCatName val="0"/>
              <c:showSerName val="0"/>
              <c:showPercent val="0"/>
              <c:showBubbleSize val="0"/>
            </c:dLbl>
            <c:dLbl>
              <c:idx val="1"/>
              <c:tx>
                <c:rich>
                  <a:bodyPr/>
                  <a:lstStyle/>
                  <a:p>
                    <a:r>
                      <a:rPr lang="en-US"/>
                      <a:t>1.2%</a:t>
                    </a:r>
                  </a:p>
                </c:rich>
              </c:tx>
              <c:dLblPos val="ctr"/>
              <c:showLegendKey val="0"/>
              <c:showVal val="1"/>
              <c:showCatName val="0"/>
              <c:showSerName val="0"/>
              <c:showPercent val="0"/>
              <c:showBubbleSize val="0"/>
            </c:dLbl>
            <c:dLblPos val="ctr"/>
            <c:showLegendKey val="0"/>
            <c:showVal val="1"/>
            <c:showCatName val="0"/>
            <c:showSerName val="0"/>
            <c:showPercent val="0"/>
            <c:showBubbleSize val="0"/>
            <c:showLeaderLines val="0"/>
          </c:dLbls>
          <c:cat>
            <c:strRef>
              <c:f>'C:\Users\cgreen\AppData\Local\Temp\notesD06208\[HHH (No Dar).xlsx]Sheet1'!$B$1:$C$1</c:f>
              <c:strCache>
                <c:ptCount val="2"/>
                <c:pt idx="0">
                  <c:v>Initial HEA</c:v>
                </c:pt>
                <c:pt idx="1">
                  <c:v>End HEA</c:v>
                </c:pt>
              </c:strCache>
            </c:strRef>
          </c:cat>
          <c:val>
            <c:numRef>
              <c:f>'C:\Users\cgreen\AppData\Local\Temp\notesD06208\[HHH (No Dar).xlsx]Sheet1'!$B$4:$C$4</c:f>
              <c:numCache>
                <c:formatCode>0%</c:formatCode>
                <c:ptCount val="2"/>
                <c:pt idx="0" formatCode="0.00%">
                  <c:v>0.13850000000000001</c:v>
                </c:pt>
                <c:pt idx="1">
                  <c:v>1.21E-2</c:v>
                </c:pt>
              </c:numCache>
            </c:numRef>
          </c:val>
        </c:ser>
        <c:dLbls>
          <c:dLblPos val="ctr"/>
          <c:showLegendKey val="0"/>
          <c:showVal val="1"/>
          <c:showCatName val="0"/>
          <c:showSerName val="0"/>
          <c:showPercent val="0"/>
          <c:showBubbleSize val="0"/>
        </c:dLbls>
        <c:gapWidth val="76"/>
        <c:overlap val="100"/>
        <c:axId val="214899712"/>
        <c:axId val="214909696"/>
      </c:barChart>
      <c:catAx>
        <c:axId val="214899712"/>
        <c:scaling>
          <c:orientation val="minMax"/>
        </c:scaling>
        <c:delete val="0"/>
        <c:axPos val="b"/>
        <c:majorTickMark val="out"/>
        <c:minorTickMark val="none"/>
        <c:tickLblPos val="nextTo"/>
        <c:crossAx val="214909696"/>
        <c:crosses val="autoZero"/>
        <c:auto val="1"/>
        <c:lblAlgn val="ctr"/>
        <c:lblOffset val="100"/>
        <c:noMultiLvlLbl val="0"/>
      </c:catAx>
      <c:valAx>
        <c:axId val="214909696"/>
        <c:scaling>
          <c:orientation val="minMax"/>
          <c:max val="1"/>
        </c:scaling>
        <c:delete val="0"/>
        <c:axPos val="l"/>
        <c:majorGridlines/>
        <c:numFmt formatCode="0.00%" sourceLinked="1"/>
        <c:majorTickMark val="out"/>
        <c:minorTickMark val="none"/>
        <c:tickLblPos val="nextTo"/>
        <c:crossAx val="214899712"/>
        <c:crosses val="autoZero"/>
        <c:crossBetween val="between"/>
        <c:majorUnit val="0.2"/>
      </c:valAx>
    </c:plotArea>
    <c:legend>
      <c:legendPos val="r"/>
      <c:layout>
        <c:manualLayout>
          <c:xMode val="edge"/>
          <c:yMode val="edge"/>
          <c:x val="0.64262445319335082"/>
          <c:y val="0.25253513871513728"/>
          <c:w val="0.34070888013998252"/>
          <c:h val="0.45949370814629481"/>
        </c:manualLayout>
      </c:layout>
      <c:overlay val="0"/>
    </c:legend>
    <c:plotVisOnly val="1"/>
    <c:dispBlanksAs val="gap"/>
    <c:showDLblsOverMax val="0"/>
  </c:chart>
  <c:spPr>
    <a:ln>
      <a:solidFill>
        <a:schemeClr val="tx1"/>
      </a:solidFill>
    </a:ln>
  </c:spPr>
  <c:txPr>
    <a:bodyPr/>
    <a:lstStyle/>
    <a:p>
      <a:pPr>
        <a:defRPr>
          <a:latin typeface="Gill Sans MT" panose="020B0502020104020203" pitchFamily="34"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BCC86-735A-4C75-BE0E-7463912BE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4457</Words>
  <Characters>25405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Chapter One: Approach</vt:lpstr>
    </vt:vector>
  </TitlesOfParts>
  <Company>DAI</Company>
  <LinksUpToDate>false</LinksUpToDate>
  <CharactersWithSpaces>29803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One: Approach</dc:title>
  <dc:creator>Ann Ha</dc:creator>
  <cp:lastModifiedBy>Colleen Green</cp:lastModifiedBy>
  <cp:revision>2</cp:revision>
  <cp:lastPrinted>2014-11-19T21:08:00Z</cp:lastPrinted>
  <dcterms:created xsi:type="dcterms:W3CDTF">2014-11-21T09:14:00Z</dcterms:created>
  <dcterms:modified xsi:type="dcterms:W3CDTF">2014-11-21T09:14:00Z</dcterms:modified>
</cp:coreProperties>
</file>