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7F79"/>
          <w:sz w:val="26"/>
        </w:rPr>
        <w:t>AFFORDABLE HOUSING CAMEROON</w:t>
      </w:r>
    </w:p>
    <w:p>
      <w:pPr>
        <w:jc w:val="center"/>
      </w:pPr>
      <w:r>
        <w:rPr>
          <w:b/>
          <w:color w:val="153243"/>
          <w:sz w:val="58"/>
        </w:rPr>
        <w:t>Business Concept Plan</w:t>
      </w:r>
    </w:p>
    <w:p>
      <w:pPr>
        <w:jc w:val="center"/>
      </w:pPr>
      <w:r>
        <w:rPr>
          <w:color w:val="66747A"/>
          <w:sz w:val="24"/>
        </w:rPr>
        <w:t>Revenue sharing, participant earnings, trust operations, and anti-leakage design</w:t>
      </w:r>
    </w:p>
    <w:p>
      <w:pPr>
        <w:jc w:val="center"/>
      </w:pPr>
      <w:r>
        <w:rPr>
          <w:i/>
          <w:color w:val="153243"/>
          <w:sz w:val="22"/>
        </w:rPr>
        <w:t>A marketplace where agents, moderators, owners, seekers, payment providers, and the platform each receive clear value from a completed housing journey.</w:t>
      </w:r>
    </w:p>
    <w:p>
      <w:r>
        <w:drawing>
          <wp:inline xmlns:a="http://schemas.openxmlformats.org/drawingml/2006/main" xmlns:pic="http://schemas.openxmlformats.org/drawingml/2006/picture">
            <wp:extent cx="6309360" cy="3405243"/>
            <wp:docPr id="1" name="Picture 1"/>
            <wp:cNvGraphicFramePr>
              <a:graphicFrameLocks noChangeAspect="1"/>
            </wp:cNvGraphicFramePr>
            <a:graphic>
              <a:graphicData uri="http://schemas.openxmlformats.org/drawingml/2006/picture">
                <pic:pic>
                  <pic:nvPicPr>
                    <pic:cNvPr id="0" name="01_ecosystem_flow.png"/>
                    <pic:cNvPicPr/>
                  </pic:nvPicPr>
                  <pic:blipFill>
                    <a:blip r:embed="rId9"/>
                    <a:stretch>
                      <a:fillRect/>
                    </a:stretch>
                  </pic:blipFill>
                  <pic:spPr>
                    <a:xfrm>
                      <a:off x="0" y="0"/>
                      <a:ext cx="6309360" cy="3405243"/>
                    </a:xfrm>
                    <a:prstGeom prst="rect"/>
                  </pic:spPr>
                </pic:pic>
              </a:graphicData>
            </a:graphic>
          </wp:inline>
        </w:drawing>
      </w:r>
    </w:p>
    <w:p>
      <w:pPr>
        <w:jc w:val="center"/>
      </w:pPr>
      <w:r>
        <w:rPr>
          <w:i/>
          <w:color w:val="66747A"/>
          <w:sz w:val="18"/>
        </w:rPr>
        <w:t>Figure 1. The operating ecosystem and value exchange.</w:t>
      </w:r>
    </w:p>
    <w:p>
      <w:pPr>
        <w:pStyle w:val="Heading1"/>
      </w:pPr>
      <w:r>
        <w:t>1. Executive concept</w:t>
      </w:r>
    </w:p>
    <w:p>
      <w:r>
        <w:t>Affordable Housing Cameroon should be positioned as a transaction and trust layer for rental housing, not merely as a directory of phone numbers. The platform helps seekers find relevant homes, helps owners and agents receive qualified demand, pays local moderators for credible verification work, and records the transaction so that participants receive protection and reputation value.</w:t>
      </w:r>
    </w:p>
    <w:p>
      <w:r>
        <w:t>The core commercial principle is simple: listing is free to maximize supply; the platform earns when value is created through verification, completed transactions, protected settlement, and later optional services. The figures in this document are illustrative planning assumptions and must be validated with local legal, payment-provider, and market advice before implementation.</w:t>
      </w:r>
    </w:p>
    <w:p>
      <w:pPr>
        <w:pStyle w:val="Heading1"/>
      </w:pPr>
      <w:r>
        <w:t>2. Participants and how each person earns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53243"/>
            <w:vAlign w:val="center"/>
          </w:tcPr>
          <w:p>
            <w:pPr>
              <w:spacing w:after="0"/>
            </w:pPr>
            <w:r/>
            <w:r>
              <w:rPr>
                <w:b/>
                <w:color w:val="FFFFFF"/>
                <w:sz w:val="18"/>
              </w:rPr>
              <w:t>Participant</w:t>
            </w:r>
          </w:p>
        </w:tc>
        <w:tc>
          <w:tcPr>
            <w:tcW w:type="dxa" w:w="2556"/>
            <w:shd w:fill="153243"/>
            <w:vAlign w:val="center"/>
          </w:tcPr>
          <w:p>
            <w:pPr>
              <w:spacing w:after="0"/>
            </w:pPr>
            <w:r/>
            <w:r>
              <w:rPr>
                <w:b/>
                <w:color w:val="FFFFFF"/>
                <w:sz w:val="18"/>
              </w:rPr>
              <w:t>What they contribute</w:t>
            </w:r>
          </w:p>
        </w:tc>
        <w:tc>
          <w:tcPr>
            <w:tcW w:type="dxa" w:w="2556"/>
            <w:shd w:fill="153243"/>
            <w:vAlign w:val="center"/>
          </w:tcPr>
          <w:p>
            <w:pPr>
              <w:spacing w:after="0"/>
            </w:pPr>
            <w:r/>
            <w:r>
              <w:rPr>
                <w:b/>
                <w:color w:val="FFFFFF"/>
                <w:sz w:val="18"/>
              </w:rPr>
              <w:t>How they earn or benefit</w:t>
            </w:r>
          </w:p>
        </w:tc>
        <w:tc>
          <w:tcPr>
            <w:tcW w:type="dxa" w:w="2556"/>
            <w:shd w:fill="153243"/>
            <w:vAlign w:val="center"/>
          </w:tcPr>
          <w:p>
            <w:pPr>
              <w:spacing w:after="0"/>
            </w:pPr>
            <w:r/>
            <w:r>
              <w:rPr>
                <w:b/>
                <w:color w:val="FFFFFF"/>
                <w:sz w:val="18"/>
              </w:rPr>
              <w:t>Primary incentive</w:t>
            </w:r>
          </w:p>
        </w:tc>
      </w:tr>
      <w:tr>
        <w:tc>
          <w:tcPr>
            <w:tcW w:type="dxa" w:w="2556"/>
            <w:shd w:fill="F7F3EC"/>
            <w:vAlign w:val="center"/>
          </w:tcPr>
          <w:p>
            <w:pPr>
              <w:spacing w:after="0"/>
            </w:pPr>
            <w:r/>
            <w:r>
              <w:rPr>
                <w:b w:val="0"/>
                <w:color w:val="263238"/>
                <w:sz w:val="17"/>
              </w:rPr>
              <w:t>Seeker</w:t>
            </w:r>
          </w:p>
        </w:tc>
        <w:tc>
          <w:tcPr>
            <w:tcW w:type="dxa" w:w="2556"/>
            <w:shd w:fill="F7F3EC"/>
            <w:vAlign w:val="center"/>
          </w:tcPr>
          <w:p>
            <w:pPr>
              <w:spacing w:after="0"/>
            </w:pPr>
            <w:r/>
            <w:r>
              <w:rPr>
                <w:b w:val="0"/>
                <w:color w:val="263238"/>
                <w:sz w:val="17"/>
              </w:rPr>
              <w:t>Budget, housing need, attention, feedback</w:t>
            </w:r>
          </w:p>
        </w:tc>
        <w:tc>
          <w:tcPr>
            <w:tcW w:type="dxa" w:w="2556"/>
            <w:shd w:fill="F7F3EC"/>
            <w:vAlign w:val="center"/>
          </w:tcPr>
          <w:p>
            <w:pPr>
              <w:spacing w:after="0"/>
            </w:pPr>
            <w:r/>
            <w:r>
              <w:rPr>
                <w:b w:val="0"/>
                <w:color w:val="263238"/>
                <w:sz w:val="17"/>
              </w:rPr>
              <w:t>Does not receive a cash payout; earns protection, transparent costs, proof of payment, and a dispute pathway</w:t>
            </w:r>
          </w:p>
        </w:tc>
        <w:tc>
          <w:tcPr>
            <w:tcW w:type="dxa" w:w="2556"/>
            <w:shd w:fill="F7F3EC"/>
            <w:vAlign w:val="center"/>
          </w:tcPr>
          <w:p>
            <w:pPr>
              <w:spacing w:after="0"/>
            </w:pPr>
            <w:r/>
            <w:r>
              <w:rPr>
                <w:b w:val="0"/>
                <w:color w:val="263238"/>
                <w:sz w:val="17"/>
              </w:rPr>
              <w:t>Find a real home with less wasted time and lower fraud exposure</w:t>
            </w:r>
          </w:p>
        </w:tc>
      </w:tr>
      <w:tr>
        <w:tc>
          <w:tcPr>
            <w:tcW w:type="dxa" w:w="2556"/>
            <w:shd w:fill="FFFFFF"/>
            <w:vAlign w:val="center"/>
          </w:tcPr>
          <w:p>
            <w:pPr>
              <w:spacing w:after="0"/>
            </w:pPr>
            <w:r/>
            <w:r>
              <w:rPr>
                <w:b w:val="0"/>
                <w:color w:val="263238"/>
                <w:sz w:val="17"/>
              </w:rPr>
              <w:t>Owner / landlord</w:t>
            </w:r>
          </w:p>
        </w:tc>
        <w:tc>
          <w:tcPr>
            <w:tcW w:type="dxa" w:w="2556"/>
            <w:shd w:fill="FFFFFF"/>
            <w:vAlign w:val="center"/>
          </w:tcPr>
          <w:p>
            <w:pPr>
              <w:spacing w:after="0"/>
            </w:pPr>
            <w:r/>
            <w:r>
              <w:rPr>
                <w:b w:val="0"/>
                <w:color w:val="263238"/>
                <w:sz w:val="17"/>
              </w:rPr>
              <w:t>Property, availability, lease terms</w:t>
            </w:r>
          </w:p>
        </w:tc>
        <w:tc>
          <w:tcPr>
            <w:tcW w:type="dxa" w:w="2556"/>
            <w:shd w:fill="FFFFFF"/>
            <w:vAlign w:val="center"/>
          </w:tcPr>
          <w:p>
            <w:pPr>
              <w:spacing w:after="0"/>
            </w:pPr>
            <w:r/>
            <w:r>
              <w:rPr>
                <w:b w:val="0"/>
                <w:color w:val="263238"/>
                <w:sz w:val="17"/>
              </w:rPr>
              <w:t>Receives rent and deposit owed under the lease; may later pay optional verification or visibility fees</w:t>
            </w:r>
          </w:p>
        </w:tc>
        <w:tc>
          <w:tcPr>
            <w:tcW w:type="dxa" w:w="2556"/>
            <w:shd w:fill="FFFFFF"/>
            <w:vAlign w:val="center"/>
          </w:tcPr>
          <w:p>
            <w:pPr>
              <w:spacing w:after="0"/>
            </w:pPr>
            <w:r/>
            <w:r>
              <w:rPr>
                <w:b w:val="0"/>
                <w:color w:val="263238"/>
                <w:sz w:val="17"/>
              </w:rPr>
              <w:t>Qualified demand and a clearer path to a serious renter</w:t>
            </w:r>
          </w:p>
        </w:tc>
      </w:tr>
      <w:tr>
        <w:tc>
          <w:tcPr>
            <w:tcW w:type="dxa" w:w="2556"/>
            <w:shd w:fill="F7F3EC"/>
            <w:vAlign w:val="center"/>
          </w:tcPr>
          <w:p>
            <w:pPr>
              <w:spacing w:after="0"/>
            </w:pPr>
            <w:r/>
            <w:r>
              <w:rPr>
                <w:b w:val="0"/>
                <w:color w:val="263238"/>
                <w:sz w:val="17"/>
              </w:rPr>
              <w:t>Agent</w:t>
            </w:r>
          </w:p>
        </w:tc>
        <w:tc>
          <w:tcPr>
            <w:tcW w:type="dxa" w:w="2556"/>
            <w:shd w:fill="F7F3EC"/>
            <w:vAlign w:val="center"/>
          </w:tcPr>
          <w:p>
            <w:pPr>
              <w:spacing w:after="0"/>
            </w:pPr>
            <w:r/>
            <w:r>
              <w:rPr>
                <w:b w:val="0"/>
                <w:color w:val="263238"/>
                <w:sz w:val="17"/>
              </w:rPr>
              <w:t>Listing, viewing, negotiation, paperwork, deal support</w:t>
            </w:r>
          </w:p>
        </w:tc>
        <w:tc>
          <w:tcPr>
            <w:tcW w:type="dxa" w:w="2556"/>
            <w:shd w:fill="F7F3EC"/>
            <w:vAlign w:val="center"/>
          </w:tcPr>
          <w:p>
            <w:pPr>
              <w:spacing w:after="0"/>
            </w:pPr>
            <w:r/>
            <w:r>
              <w:rPr>
                <w:b w:val="0"/>
                <w:color w:val="263238"/>
                <w:sz w:val="17"/>
              </w:rPr>
              <w:t>Illustrative 70% of the closed-deal commission pool; repeat/referral opportunities</w:t>
            </w:r>
          </w:p>
        </w:tc>
        <w:tc>
          <w:tcPr>
            <w:tcW w:type="dxa" w:w="2556"/>
            <w:shd w:fill="F7F3EC"/>
            <w:vAlign w:val="center"/>
          </w:tcPr>
          <w:p>
            <w:pPr>
              <w:spacing w:after="0"/>
            </w:pPr>
            <w:r/>
            <w:r>
              <w:rPr>
                <w:b w:val="0"/>
                <w:color w:val="263238"/>
                <w:sz w:val="17"/>
              </w:rPr>
              <w:t>Tracked deal ownership, protected commission proof, reputation, and demand</w:t>
            </w:r>
          </w:p>
        </w:tc>
      </w:tr>
      <w:tr>
        <w:tc>
          <w:tcPr>
            <w:tcW w:type="dxa" w:w="2556"/>
            <w:shd w:fill="FFFFFF"/>
            <w:vAlign w:val="center"/>
          </w:tcPr>
          <w:p>
            <w:pPr>
              <w:spacing w:after="0"/>
            </w:pPr>
            <w:r/>
            <w:r>
              <w:rPr>
                <w:b w:val="0"/>
                <w:color w:val="263238"/>
                <w:sz w:val="17"/>
              </w:rPr>
              <w:t>Local moderator</w:t>
            </w:r>
          </w:p>
        </w:tc>
        <w:tc>
          <w:tcPr>
            <w:tcW w:type="dxa" w:w="2556"/>
            <w:shd w:fill="FFFFFF"/>
            <w:vAlign w:val="center"/>
          </w:tcPr>
          <w:p>
            <w:pPr>
              <w:spacing w:after="0"/>
            </w:pPr>
            <w:r/>
            <w:r>
              <w:rPr>
                <w:b w:val="0"/>
                <w:color w:val="263238"/>
                <w:sz w:val="17"/>
              </w:rPr>
              <w:t>Listing verification, field evidence, freshness checks, scam flags</w:t>
            </w:r>
          </w:p>
        </w:tc>
        <w:tc>
          <w:tcPr>
            <w:tcW w:type="dxa" w:w="2556"/>
            <w:shd w:fill="FFFFFF"/>
            <w:vAlign w:val="center"/>
          </w:tcPr>
          <w:p>
            <w:pPr>
              <w:spacing w:after="0"/>
            </w:pPr>
            <w:r/>
            <w:r>
              <w:rPr>
                <w:b w:val="0"/>
                <w:color w:val="263238"/>
                <w:sz w:val="17"/>
              </w:rPr>
              <w:t>Illustrative verification fee share plus 10% of the closed-deal commission pool</w:t>
            </w:r>
          </w:p>
        </w:tc>
        <w:tc>
          <w:tcPr>
            <w:tcW w:type="dxa" w:w="2556"/>
            <w:shd w:fill="FFFFFF"/>
            <w:vAlign w:val="center"/>
          </w:tcPr>
          <w:p>
            <w:pPr>
              <w:spacing w:after="0"/>
            </w:pPr>
            <w:r/>
            <w:r>
              <w:rPr>
                <w:b w:val="0"/>
                <w:color w:val="263238"/>
                <w:sz w:val="17"/>
              </w:rPr>
              <w:t>Immediate payment for work plus recurring upside from credible listings</w:t>
            </w:r>
          </w:p>
        </w:tc>
      </w:tr>
      <w:tr>
        <w:tc>
          <w:tcPr>
            <w:tcW w:type="dxa" w:w="2556"/>
            <w:shd w:fill="F7F3EC"/>
            <w:vAlign w:val="center"/>
          </w:tcPr>
          <w:p>
            <w:pPr>
              <w:spacing w:after="0"/>
            </w:pPr>
            <w:r/>
            <w:r>
              <w:rPr>
                <w:b w:val="0"/>
                <w:color w:val="263238"/>
                <w:sz w:val="17"/>
              </w:rPr>
              <w:t>Platform</w:t>
            </w:r>
          </w:p>
        </w:tc>
        <w:tc>
          <w:tcPr>
            <w:tcW w:type="dxa" w:w="2556"/>
            <w:shd w:fill="F7F3EC"/>
            <w:vAlign w:val="center"/>
          </w:tcPr>
          <w:p>
            <w:pPr>
              <w:spacing w:after="0"/>
            </w:pPr>
            <w:r/>
            <w:r>
              <w:rPr>
                <w:b w:val="0"/>
                <w:color w:val="263238"/>
                <w:sz w:val="17"/>
              </w:rPr>
              <w:t>Discovery, verification records, contact protection, escrow coordination, disputes, analytics</w:t>
            </w:r>
          </w:p>
        </w:tc>
        <w:tc>
          <w:tcPr>
            <w:tcW w:type="dxa" w:w="2556"/>
            <w:shd w:fill="F7F3EC"/>
            <w:vAlign w:val="center"/>
          </w:tcPr>
          <w:p>
            <w:pPr>
              <w:spacing w:after="0"/>
            </w:pPr>
            <w:r/>
            <w:r>
              <w:rPr>
                <w:b w:val="0"/>
                <w:color w:val="263238"/>
                <w:sz w:val="17"/>
              </w:rPr>
              <w:t>Illustrative 20% of closed-deal commission; verification processing share; escrow handling fee; later optional upsells</w:t>
            </w:r>
          </w:p>
        </w:tc>
        <w:tc>
          <w:tcPr>
            <w:tcW w:type="dxa" w:w="2556"/>
            <w:shd w:fill="F7F3EC"/>
            <w:vAlign w:val="center"/>
          </w:tcPr>
          <w:p>
            <w:pPr>
              <w:spacing w:after="0"/>
            </w:pPr>
            <w:r/>
            <w:r>
              <w:rPr>
                <w:b w:val="0"/>
                <w:color w:val="263238"/>
                <w:sz w:val="17"/>
              </w:rPr>
              <w:t>Transaction volume, trusted data, repeat use, and scalable revenue</w:t>
            </w:r>
          </w:p>
        </w:tc>
      </w:tr>
      <w:tr>
        <w:tc>
          <w:tcPr>
            <w:tcW w:type="dxa" w:w="2556"/>
            <w:shd w:fill="FFFFFF"/>
            <w:vAlign w:val="center"/>
          </w:tcPr>
          <w:p>
            <w:pPr>
              <w:spacing w:after="0"/>
            </w:pPr>
            <w:r/>
            <w:r>
              <w:rPr>
                <w:b w:val="0"/>
                <w:color w:val="263238"/>
                <w:sz w:val="17"/>
              </w:rPr>
              <w:t>Mobile-money / payment provider</w:t>
            </w:r>
          </w:p>
        </w:tc>
        <w:tc>
          <w:tcPr>
            <w:tcW w:type="dxa" w:w="2556"/>
            <w:shd w:fill="FFFFFF"/>
            <w:vAlign w:val="center"/>
          </w:tcPr>
          <w:p>
            <w:pPr>
              <w:spacing w:after="0"/>
            </w:pPr>
            <w:r/>
            <w:r>
              <w:rPr>
                <w:b w:val="0"/>
                <w:color w:val="263238"/>
                <w:sz w:val="17"/>
              </w:rPr>
              <w:t>Payment processing and settlement rails</w:t>
            </w:r>
          </w:p>
        </w:tc>
        <w:tc>
          <w:tcPr>
            <w:tcW w:type="dxa" w:w="2556"/>
            <w:shd w:fill="FFFFFF"/>
            <w:vAlign w:val="center"/>
          </w:tcPr>
          <w:p>
            <w:pPr>
              <w:spacing w:after="0"/>
            </w:pPr>
            <w:r/>
            <w:r>
              <w:rPr>
                <w:b w:val="0"/>
                <w:color w:val="263238"/>
                <w:sz w:val="17"/>
              </w:rPr>
              <w:t>Provider-defined transaction fee; amount must be confirmed in contract</w:t>
            </w:r>
          </w:p>
        </w:tc>
        <w:tc>
          <w:tcPr>
            <w:tcW w:type="dxa" w:w="2556"/>
            <w:shd w:fill="FFFFFF"/>
            <w:vAlign w:val="center"/>
          </w:tcPr>
          <w:p>
            <w:pPr>
              <w:spacing w:after="0"/>
            </w:pPr>
            <w:r/>
            <w:r>
              <w:rPr>
                <w:b w:val="0"/>
                <w:color w:val="263238"/>
                <w:sz w:val="17"/>
              </w:rPr>
              <w:t>Payment volume and compliant processing</w:t>
            </w:r>
          </w:p>
        </w:tc>
      </w:tr>
    </w:tbl>
    <w:p>
      <w:pPr>
        <w:spacing w:after="20"/>
      </w:pPr>
    </w:p>
    <w:p>
      <w:pPr>
        <w:pStyle w:val="Heading1"/>
      </w:pPr>
      <w:r>
        <w:t>3. Core revenue-sharing model</w:t>
      </w:r>
    </w:p>
    <w:p>
      <w:r>
        <w:t>The primary success-fee model applies when a seeker commits to a property and the transaction reaches the agreed trigger, such as signing and paying the first month plus deposit. The commission pool is separate from the rent and deposit. Rent and deposit belong to the contractual parties; they are not platform revenue.</w:t>
      </w:r>
    </w:p>
    <w:p>
      <w:r>
        <w:drawing>
          <wp:inline xmlns:a="http://schemas.openxmlformats.org/drawingml/2006/main" xmlns:pic="http://schemas.openxmlformats.org/drawingml/2006/picture">
            <wp:extent cx="6309360" cy="2656142"/>
            <wp:docPr id="2" name="Picture 2"/>
            <wp:cNvGraphicFramePr>
              <a:graphicFrameLocks noChangeAspect="1"/>
            </wp:cNvGraphicFramePr>
            <a:graphic>
              <a:graphicData uri="http://schemas.openxmlformats.org/drawingml/2006/picture">
                <pic:pic>
                  <pic:nvPicPr>
                    <pic:cNvPr id="0" name="02_commission_waterfall.png"/>
                    <pic:cNvPicPr/>
                  </pic:nvPicPr>
                  <pic:blipFill>
                    <a:blip r:embed="rId10"/>
                    <a:stretch>
                      <a:fillRect/>
                    </a:stretch>
                  </pic:blipFill>
                  <pic:spPr>
                    <a:xfrm>
                      <a:off x="0" y="0"/>
                      <a:ext cx="6309360" cy="2656142"/>
                    </a:xfrm>
                    <a:prstGeom prst="rect"/>
                  </pic:spPr>
                </pic:pic>
              </a:graphicData>
            </a:graphic>
          </wp:inline>
        </w:drawing>
      </w:r>
    </w:p>
    <w:p>
      <w:pPr>
        <w:jc w:val="center"/>
      </w:pPr>
      <w:r>
        <w:rPr>
          <w:i/>
          <w:color w:val="66747A"/>
          <w:sz w:val="18"/>
        </w:rPr>
        <w:t>Figure 2. Illustrative 70/20/10 split of a 40,000 XAF commission pool.</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53243"/>
            <w:vAlign w:val="center"/>
          </w:tcPr>
          <w:p>
            <w:pPr>
              <w:spacing w:after="0"/>
            </w:pPr>
            <w:r/>
            <w:r>
              <w:rPr>
                <w:b/>
                <w:color w:val="FFFFFF"/>
                <w:sz w:val="18"/>
              </w:rPr>
              <w:t>Money event</w:t>
            </w:r>
          </w:p>
        </w:tc>
        <w:tc>
          <w:tcPr>
            <w:tcW w:type="dxa" w:w="1704"/>
            <w:shd w:fill="153243"/>
            <w:vAlign w:val="center"/>
          </w:tcPr>
          <w:p>
            <w:pPr>
              <w:spacing w:after="0"/>
            </w:pPr>
            <w:r/>
            <w:r>
              <w:rPr>
                <w:b/>
                <w:color w:val="FFFFFF"/>
                <w:sz w:val="18"/>
              </w:rPr>
              <w:t>Illustrative amount</w:t>
            </w:r>
          </w:p>
        </w:tc>
        <w:tc>
          <w:tcPr>
            <w:tcW w:type="dxa" w:w="1704"/>
            <w:shd w:fill="153243"/>
            <w:vAlign w:val="center"/>
          </w:tcPr>
          <w:p>
            <w:pPr>
              <w:spacing w:after="0"/>
            </w:pPr>
            <w:r/>
            <w:r>
              <w:rPr>
                <w:b/>
                <w:color w:val="FFFFFF"/>
                <w:sz w:val="18"/>
              </w:rPr>
              <w:t>Agent</w:t>
            </w:r>
          </w:p>
        </w:tc>
        <w:tc>
          <w:tcPr>
            <w:tcW w:type="dxa" w:w="1704"/>
            <w:shd w:fill="153243"/>
            <w:vAlign w:val="center"/>
          </w:tcPr>
          <w:p>
            <w:pPr>
              <w:spacing w:after="0"/>
            </w:pPr>
            <w:r/>
            <w:r>
              <w:rPr>
                <w:b/>
                <w:color w:val="FFFFFF"/>
                <w:sz w:val="18"/>
              </w:rPr>
              <w:t>Moderator</w:t>
            </w:r>
          </w:p>
        </w:tc>
        <w:tc>
          <w:tcPr>
            <w:tcW w:type="dxa" w:w="1704"/>
            <w:shd w:fill="153243"/>
            <w:vAlign w:val="center"/>
          </w:tcPr>
          <w:p>
            <w:pPr>
              <w:spacing w:after="0"/>
            </w:pPr>
            <w:r/>
            <w:r>
              <w:rPr>
                <w:b/>
                <w:color w:val="FFFFFF"/>
                <w:sz w:val="18"/>
              </w:rPr>
              <w:t>Platform</w:t>
            </w:r>
          </w:p>
        </w:tc>
        <w:tc>
          <w:tcPr>
            <w:tcW w:type="dxa" w:w="1704"/>
            <w:shd w:fill="153243"/>
            <w:vAlign w:val="center"/>
          </w:tcPr>
          <w:p>
            <w:pPr>
              <w:spacing w:after="0"/>
            </w:pPr>
            <w:r/>
            <w:r>
              <w:rPr>
                <w:b/>
                <w:color w:val="FFFFFF"/>
                <w:sz w:val="18"/>
              </w:rPr>
              <w:t>Notes</w:t>
            </w:r>
          </w:p>
        </w:tc>
      </w:tr>
      <w:tr>
        <w:tc>
          <w:tcPr>
            <w:tcW w:type="dxa" w:w="1704"/>
            <w:shd w:fill="F7F3EC"/>
            <w:vAlign w:val="center"/>
          </w:tcPr>
          <w:p>
            <w:pPr>
              <w:spacing w:after="0"/>
            </w:pPr>
            <w:r/>
            <w:r>
              <w:rPr>
                <w:b w:val="0"/>
                <w:color w:val="263238"/>
                <w:sz w:val="17"/>
              </w:rPr>
              <w:t>Closed deal commission pool</w:t>
            </w:r>
          </w:p>
        </w:tc>
        <w:tc>
          <w:tcPr>
            <w:tcW w:type="dxa" w:w="1704"/>
            <w:shd w:fill="F7F3EC"/>
            <w:vAlign w:val="center"/>
          </w:tcPr>
          <w:p>
            <w:pPr>
              <w:spacing w:after="0"/>
            </w:pPr>
            <w:r/>
            <w:r>
              <w:rPr>
                <w:b w:val="0"/>
                <w:color w:val="263238"/>
                <w:sz w:val="17"/>
              </w:rPr>
              <w:t>40,000 XAF</w:t>
            </w:r>
          </w:p>
        </w:tc>
        <w:tc>
          <w:tcPr>
            <w:tcW w:type="dxa" w:w="1704"/>
            <w:shd w:fill="F7F3EC"/>
            <w:vAlign w:val="center"/>
          </w:tcPr>
          <w:p>
            <w:pPr>
              <w:spacing w:after="0"/>
            </w:pPr>
            <w:r/>
            <w:r>
              <w:rPr>
                <w:b w:val="0"/>
                <w:color w:val="263238"/>
                <w:sz w:val="17"/>
              </w:rPr>
              <w:t>28,000 XAF</w:t>
            </w:r>
          </w:p>
        </w:tc>
        <w:tc>
          <w:tcPr>
            <w:tcW w:type="dxa" w:w="1704"/>
            <w:shd w:fill="F7F3EC"/>
            <w:vAlign w:val="center"/>
          </w:tcPr>
          <w:p>
            <w:pPr>
              <w:spacing w:after="0"/>
            </w:pPr>
            <w:r/>
            <w:r>
              <w:rPr>
                <w:b w:val="0"/>
                <w:color w:val="263238"/>
                <w:sz w:val="17"/>
              </w:rPr>
              <w:t>4,000 XAF</w:t>
            </w:r>
          </w:p>
        </w:tc>
        <w:tc>
          <w:tcPr>
            <w:tcW w:type="dxa" w:w="1704"/>
            <w:shd w:fill="F7F3EC"/>
            <w:vAlign w:val="center"/>
          </w:tcPr>
          <w:p>
            <w:pPr>
              <w:spacing w:after="0"/>
            </w:pPr>
            <w:r/>
            <w:r>
              <w:rPr>
                <w:b w:val="0"/>
                <w:color w:val="263238"/>
                <w:sz w:val="17"/>
              </w:rPr>
              <w:t>8,000 XAF</w:t>
            </w:r>
          </w:p>
        </w:tc>
        <w:tc>
          <w:tcPr>
            <w:tcW w:type="dxa" w:w="1704"/>
            <w:shd w:fill="F7F3EC"/>
            <w:vAlign w:val="center"/>
          </w:tcPr>
          <w:p>
            <w:pPr>
              <w:spacing w:after="0"/>
            </w:pPr>
            <w:r/>
            <w:r>
              <w:rPr>
                <w:b w:val="0"/>
                <w:color w:val="263238"/>
                <w:sz w:val="17"/>
              </w:rPr>
              <w:t>Assumes one month of rent as commission; illustrative only</w:t>
            </w:r>
          </w:p>
        </w:tc>
      </w:tr>
      <w:tr>
        <w:tc>
          <w:tcPr>
            <w:tcW w:type="dxa" w:w="1704"/>
            <w:shd w:fill="FFFFFF"/>
            <w:vAlign w:val="center"/>
          </w:tcPr>
          <w:p>
            <w:pPr>
              <w:spacing w:after="0"/>
            </w:pPr>
            <w:r/>
            <w:r>
              <w:rPr>
                <w:b w:val="0"/>
                <w:color w:val="263238"/>
                <w:sz w:val="17"/>
              </w:rPr>
              <w:t>Monthly rent</w:t>
            </w:r>
          </w:p>
        </w:tc>
        <w:tc>
          <w:tcPr>
            <w:tcW w:type="dxa" w:w="1704"/>
            <w:shd w:fill="FFFFFF"/>
            <w:vAlign w:val="center"/>
          </w:tcPr>
          <w:p>
            <w:pPr>
              <w:spacing w:after="0"/>
            </w:pPr>
            <w:r/>
            <w:r>
              <w:rPr>
                <w:b w:val="0"/>
                <w:color w:val="263238"/>
                <w:sz w:val="17"/>
              </w:rPr>
              <w:t>40,000 XAF</w:t>
            </w:r>
          </w:p>
        </w:tc>
        <w:tc>
          <w:tcPr>
            <w:tcW w:type="dxa" w:w="1704"/>
            <w:shd w:fill="FFFFFF"/>
            <w:vAlign w:val="center"/>
          </w:tcPr>
          <w:p>
            <w:pPr>
              <w:spacing w:after="0"/>
            </w:pPr>
            <w:r/>
            <w:r>
              <w:rPr>
                <w:b w:val="0"/>
                <w:color w:val="263238"/>
                <w:sz w:val="17"/>
              </w:rPr>
              <w:t>—</w:t>
            </w:r>
          </w:p>
        </w:tc>
        <w:tc>
          <w:tcPr>
            <w:tcW w:type="dxa" w:w="1704"/>
            <w:shd w:fill="FFFFFF"/>
            <w:vAlign w:val="center"/>
          </w:tcPr>
          <w:p>
            <w:pPr>
              <w:spacing w:after="0"/>
            </w:pPr>
            <w:r/>
            <w:r>
              <w:rPr>
                <w:b w:val="0"/>
                <w:color w:val="263238"/>
                <w:sz w:val="17"/>
              </w:rPr>
              <w:t>—</w:t>
            </w:r>
          </w:p>
        </w:tc>
        <w:tc>
          <w:tcPr>
            <w:tcW w:type="dxa" w:w="1704"/>
            <w:shd w:fill="FFFFFF"/>
            <w:vAlign w:val="center"/>
          </w:tcPr>
          <w:p>
            <w:pPr>
              <w:spacing w:after="0"/>
            </w:pPr>
            <w:r/>
            <w:r>
              <w:rPr>
                <w:b w:val="0"/>
                <w:color w:val="263238"/>
                <w:sz w:val="17"/>
              </w:rPr>
              <w:t>—</w:t>
            </w:r>
          </w:p>
        </w:tc>
        <w:tc>
          <w:tcPr>
            <w:tcW w:type="dxa" w:w="1704"/>
            <w:shd w:fill="FFFFFF"/>
            <w:vAlign w:val="center"/>
          </w:tcPr>
          <w:p>
            <w:pPr>
              <w:spacing w:after="0"/>
            </w:pPr>
            <w:r/>
            <w:r>
              <w:rPr>
                <w:b w:val="0"/>
                <w:color w:val="263238"/>
                <w:sz w:val="17"/>
              </w:rPr>
              <w:t>Rent remains owed under the lease, not split as platform revenue</w:t>
            </w:r>
          </w:p>
        </w:tc>
      </w:tr>
      <w:tr>
        <w:tc>
          <w:tcPr>
            <w:tcW w:type="dxa" w:w="1704"/>
            <w:shd w:fill="F7F3EC"/>
            <w:vAlign w:val="center"/>
          </w:tcPr>
          <w:p>
            <w:pPr>
              <w:spacing w:after="0"/>
            </w:pPr>
            <w:r/>
            <w:r>
              <w:rPr>
                <w:b w:val="0"/>
                <w:color w:val="263238"/>
                <w:sz w:val="17"/>
              </w:rPr>
              <w:t>Deposit / advance</w:t>
            </w:r>
          </w:p>
        </w:tc>
        <w:tc>
          <w:tcPr>
            <w:tcW w:type="dxa" w:w="1704"/>
            <w:shd w:fill="F7F3EC"/>
            <w:vAlign w:val="center"/>
          </w:tcPr>
          <w:p>
            <w:pPr>
              <w:spacing w:after="0"/>
            </w:pPr>
            <w:r/>
            <w:r>
              <w:rPr>
                <w:b w:val="0"/>
                <w:color w:val="263238"/>
                <w:sz w:val="17"/>
              </w:rPr>
              <w:t>As agreed</w:t>
            </w:r>
          </w:p>
        </w:tc>
        <w:tc>
          <w:tcPr>
            <w:tcW w:type="dxa" w:w="1704"/>
            <w:shd w:fill="F7F3EC"/>
            <w:vAlign w:val="center"/>
          </w:tcPr>
          <w:p>
            <w:pPr>
              <w:spacing w:after="0"/>
            </w:pPr>
            <w:r/>
            <w:r>
              <w:rPr>
                <w:b w:val="0"/>
                <w:color w:val="263238"/>
                <w:sz w:val="17"/>
              </w:rPr>
              <w:t>—</w:t>
            </w:r>
          </w:p>
        </w:tc>
        <w:tc>
          <w:tcPr>
            <w:tcW w:type="dxa" w:w="1704"/>
            <w:shd w:fill="F7F3EC"/>
            <w:vAlign w:val="center"/>
          </w:tcPr>
          <w:p>
            <w:pPr>
              <w:spacing w:after="0"/>
            </w:pPr>
            <w:r/>
            <w:r>
              <w:rPr>
                <w:b w:val="0"/>
                <w:color w:val="263238"/>
                <w:sz w:val="17"/>
              </w:rPr>
              <w:t>—</w:t>
            </w:r>
          </w:p>
        </w:tc>
        <w:tc>
          <w:tcPr>
            <w:tcW w:type="dxa" w:w="1704"/>
            <w:shd w:fill="F7F3EC"/>
            <w:vAlign w:val="center"/>
          </w:tcPr>
          <w:p>
            <w:pPr>
              <w:spacing w:after="0"/>
            </w:pPr>
            <w:r/>
            <w:r>
              <w:rPr>
                <w:b w:val="0"/>
                <w:color w:val="263238"/>
                <w:sz w:val="17"/>
              </w:rPr>
              <w:t>—</w:t>
            </w:r>
          </w:p>
        </w:tc>
        <w:tc>
          <w:tcPr>
            <w:tcW w:type="dxa" w:w="1704"/>
            <w:shd w:fill="F7F3EC"/>
            <w:vAlign w:val="center"/>
          </w:tcPr>
          <w:p>
            <w:pPr>
              <w:spacing w:after="0"/>
            </w:pPr>
            <w:r/>
            <w:r>
              <w:rPr>
                <w:b w:val="0"/>
                <w:color w:val="263238"/>
                <w:sz w:val="17"/>
              </w:rPr>
              <w:t>Should be handled under documented lease and payment rules</w:t>
            </w:r>
          </w:p>
        </w:tc>
      </w:tr>
    </w:tbl>
    <w:p>
      <w:pPr>
        <w:spacing w:after="20"/>
      </w:pPr>
    </w:p>
    <w:p>
      <w:pPr>
        <w:pStyle w:val="Heading1"/>
      </w:pPr>
      <w:r>
        <w:t>4. Verification-fee model</w:t>
      </w:r>
    </w:p>
    <w:p>
      <w:r>
        <w:t>Verification pays the moderator for work even when a property does not close immediately. This is important because a moderator should not be expected to perform field work for free while waiting for a future transaction.</w:t>
      </w:r>
    </w:p>
    <w:p>
      <w:r>
        <w:drawing>
          <wp:inline xmlns:a="http://schemas.openxmlformats.org/drawingml/2006/main" xmlns:pic="http://schemas.openxmlformats.org/drawingml/2006/picture">
            <wp:extent cx="6309360" cy="2879002"/>
            <wp:docPr id="3" name="Picture 3"/>
            <wp:cNvGraphicFramePr>
              <a:graphicFrameLocks noChangeAspect="1"/>
            </wp:cNvGraphicFramePr>
            <a:graphic>
              <a:graphicData uri="http://schemas.openxmlformats.org/drawingml/2006/picture">
                <pic:pic>
                  <pic:nvPicPr>
                    <pic:cNvPr id="0" name="03_verification_escrow.png"/>
                    <pic:cNvPicPr/>
                  </pic:nvPicPr>
                  <pic:blipFill>
                    <a:blip r:embed="rId11"/>
                    <a:stretch>
                      <a:fillRect/>
                    </a:stretch>
                  </pic:blipFill>
                  <pic:spPr>
                    <a:xfrm>
                      <a:off x="0" y="0"/>
                      <a:ext cx="6309360" cy="2879002"/>
                    </a:xfrm>
                    <a:prstGeom prst="rect"/>
                  </pic:spPr>
                </pic:pic>
              </a:graphicData>
            </a:graphic>
          </wp:inline>
        </w:drawing>
      </w:r>
    </w:p>
    <w:p>
      <w:pPr>
        <w:jc w:val="center"/>
      </w:pPr>
      <w:r>
        <w:rPr>
          <w:i/>
          <w:color w:val="66747A"/>
          <w:sz w:val="18"/>
        </w:rPr>
        <w:t>Figure 3. Verification and escrow are separate earning paths.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53243"/>
            <w:vAlign w:val="center"/>
          </w:tcPr>
          <w:p>
            <w:pPr>
              <w:spacing w:after="0"/>
            </w:pPr>
            <w:r/>
            <w:r>
              <w:rPr>
                <w:b/>
                <w:color w:val="FFFFFF"/>
                <w:sz w:val="18"/>
              </w:rPr>
              <w:t>Fee event</w:t>
            </w:r>
          </w:p>
        </w:tc>
        <w:tc>
          <w:tcPr>
            <w:tcW w:type="dxa" w:w="2045"/>
            <w:shd w:fill="153243"/>
            <w:vAlign w:val="center"/>
          </w:tcPr>
          <w:p>
            <w:pPr>
              <w:spacing w:after="0"/>
            </w:pPr>
            <w:r/>
            <w:r>
              <w:rPr>
                <w:b/>
                <w:color w:val="FFFFFF"/>
                <w:sz w:val="18"/>
              </w:rPr>
              <w:t>Illustrative gross fee</w:t>
            </w:r>
          </w:p>
        </w:tc>
        <w:tc>
          <w:tcPr>
            <w:tcW w:type="dxa" w:w="2045"/>
            <w:shd w:fill="153243"/>
            <w:vAlign w:val="center"/>
          </w:tcPr>
          <w:p>
            <w:pPr>
              <w:spacing w:after="0"/>
            </w:pPr>
            <w:r/>
            <w:r>
              <w:rPr>
                <w:b/>
                <w:color w:val="FFFFFF"/>
                <w:sz w:val="18"/>
              </w:rPr>
              <w:t>Moderator share</w:t>
            </w:r>
          </w:p>
        </w:tc>
        <w:tc>
          <w:tcPr>
            <w:tcW w:type="dxa" w:w="2045"/>
            <w:shd w:fill="153243"/>
            <w:vAlign w:val="center"/>
          </w:tcPr>
          <w:p>
            <w:pPr>
              <w:spacing w:after="0"/>
            </w:pPr>
            <w:r/>
            <w:r>
              <w:rPr>
                <w:b/>
                <w:color w:val="FFFFFF"/>
                <w:sz w:val="18"/>
              </w:rPr>
              <w:t>Platform share</w:t>
            </w:r>
          </w:p>
        </w:tc>
        <w:tc>
          <w:tcPr>
            <w:tcW w:type="dxa" w:w="2045"/>
            <w:shd w:fill="153243"/>
            <w:vAlign w:val="center"/>
          </w:tcPr>
          <w:p>
            <w:pPr>
              <w:spacing w:after="0"/>
            </w:pPr>
            <w:r/>
            <w:r>
              <w:rPr>
                <w:b/>
                <w:color w:val="FFFFFF"/>
                <w:sz w:val="18"/>
              </w:rPr>
              <w:t>Important control</w:t>
            </w:r>
          </w:p>
        </w:tc>
      </w:tr>
      <w:tr>
        <w:tc>
          <w:tcPr>
            <w:tcW w:type="dxa" w:w="2045"/>
            <w:shd w:fill="F7F3EC"/>
            <w:vAlign w:val="center"/>
          </w:tcPr>
          <w:p>
            <w:pPr>
              <w:spacing w:after="0"/>
            </w:pPr>
            <w:r/>
            <w:r>
              <w:rPr>
                <w:b w:val="0"/>
                <w:color w:val="263238"/>
                <w:sz w:val="17"/>
              </w:rPr>
              <w:t>Listing verification</w:t>
            </w:r>
          </w:p>
        </w:tc>
        <w:tc>
          <w:tcPr>
            <w:tcW w:type="dxa" w:w="2045"/>
            <w:shd w:fill="F7F3EC"/>
            <w:vAlign w:val="center"/>
          </w:tcPr>
          <w:p>
            <w:pPr>
              <w:spacing w:after="0"/>
            </w:pPr>
            <w:r/>
            <w:r>
              <w:rPr>
                <w:b w:val="0"/>
                <w:color w:val="263238"/>
                <w:sz w:val="17"/>
              </w:rPr>
              <w:t>1,500 XAF</w:t>
            </w:r>
          </w:p>
        </w:tc>
        <w:tc>
          <w:tcPr>
            <w:tcW w:type="dxa" w:w="2045"/>
            <w:shd w:fill="F7F3EC"/>
            <w:vAlign w:val="center"/>
          </w:tcPr>
          <w:p>
            <w:pPr>
              <w:spacing w:after="0"/>
            </w:pPr>
            <w:r/>
            <w:r>
              <w:rPr>
                <w:b w:val="0"/>
                <w:color w:val="263238"/>
                <w:sz w:val="17"/>
              </w:rPr>
              <w:t>1,200 XAF</w:t>
            </w:r>
          </w:p>
        </w:tc>
        <w:tc>
          <w:tcPr>
            <w:tcW w:type="dxa" w:w="2045"/>
            <w:shd w:fill="F7F3EC"/>
            <w:vAlign w:val="center"/>
          </w:tcPr>
          <w:p>
            <w:pPr>
              <w:spacing w:after="0"/>
            </w:pPr>
            <w:r/>
            <w:r>
              <w:rPr>
                <w:b w:val="0"/>
                <w:color w:val="263238"/>
                <w:sz w:val="17"/>
              </w:rPr>
              <w:t>300 XAF</w:t>
            </w:r>
          </w:p>
        </w:tc>
        <w:tc>
          <w:tcPr>
            <w:tcW w:type="dxa" w:w="2045"/>
            <w:shd w:fill="F7F3EC"/>
            <w:vAlign w:val="center"/>
          </w:tcPr>
          <w:p>
            <w:pPr>
              <w:spacing w:after="0"/>
            </w:pPr>
            <w:r/>
            <w:r>
              <w:rPr>
                <w:b w:val="0"/>
                <w:color w:val="263238"/>
                <w:sz w:val="17"/>
              </w:rPr>
              <w:t>Paid for a defined verification task; does not imply legal title certification</w:t>
            </w:r>
          </w:p>
        </w:tc>
      </w:tr>
      <w:tr>
        <w:tc>
          <w:tcPr>
            <w:tcW w:type="dxa" w:w="2045"/>
            <w:shd w:fill="FFFFFF"/>
            <w:vAlign w:val="center"/>
          </w:tcPr>
          <w:p>
            <w:pPr>
              <w:spacing w:after="0"/>
            </w:pPr>
            <w:r/>
            <w:r>
              <w:rPr>
                <w:b w:val="0"/>
                <w:color w:val="263238"/>
                <w:sz w:val="17"/>
              </w:rPr>
              <w:t>Escrow handling</w:t>
            </w:r>
          </w:p>
        </w:tc>
        <w:tc>
          <w:tcPr>
            <w:tcW w:type="dxa" w:w="2045"/>
            <w:shd w:fill="FFFFFF"/>
            <w:vAlign w:val="center"/>
          </w:tcPr>
          <w:p>
            <w:pPr>
              <w:spacing w:after="0"/>
            </w:pPr>
            <w:r/>
            <w:r>
              <w:rPr>
                <w:b w:val="0"/>
                <w:color w:val="263238"/>
                <w:sz w:val="17"/>
              </w:rPr>
              <w:t>1,500 XAF</w:t>
            </w:r>
          </w:p>
        </w:tc>
        <w:tc>
          <w:tcPr>
            <w:tcW w:type="dxa" w:w="2045"/>
            <w:shd w:fill="FFFFFF"/>
            <w:vAlign w:val="center"/>
          </w:tcPr>
          <w:p>
            <w:pPr>
              <w:spacing w:after="0"/>
            </w:pPr>
            <w:r/>
            <w:r>
              <w:rPr>
                <w:b w:val="0"/>
                <w:color w:val="263238"/>
                <w:sz w:val="17"/>
              </w:rPr>
              <w:t>—</w:t>
            </w:r>
          </w:p>
        </w:tc>
        <w:tc>
          <w:tcPr>
            <w:tcW w:type="dxa" w:w="2045"/>
            <w:shd w:fill="FFFFFF"/>
            <w:vAlign w:val="center"/>
          </w:tcPr>
          <w:p>
            <w:pPr>
              <w:spacing w:after="0"/>
            </w:pPr>
            <w:r/>
            <w:r>
              <w:rPr>
                <w:b w:val="0"/>
                <w:color w:val="263238"/>
                <w:sz w:val="17"/>
              </w:rPr>
              <w:t>Gross handling fee before provider costs</w:t>
            </w:r>
          </w:p>
        </w:tc>
        <w:tc>
          <w:tcPr>
            <w:tcW w:type="dxa" w:w="2045"/>
            <w:shd w:fill="FFFFFF"/>
            <w:vAlign w:val="center"/>
          </w:tcPr>
          <w:p>
            <w:pPr>
              <w:spacing w:after="0"/>
            </w:pPr>
            <w:r/>
            <w:r>
              <w:rPr>
                <w:b w:val="0"/>
                <w:color w:val="263238"/>
                <w:sz w:val="17"/>
              </w:rPr>
              <w:t>Must be legally and operationally validated; do not treat escrow float as interest revenue</w:t>
            </w:r>
          </w:p>
        </w:tc>
      </w:tr>
    </w:tbl>
    <w:p>
      <w:pPr>
        <w:spacing w:after="20"/>
      </w:pPr>
    </w:p>
    <w:p>
      <w:pPr>
        <w:pStyle w:val="Heading1"/>
      </w:pPr>
      <w:r>
        <w:t>5. How to reduce disintermediation and leakage</w:t>
      </w:r>
    </w:p>
    <w:p>
      <w:r>
        <w:t>Leakage occurs when a seeker and agent meet through the platform and then complete the deal privately. The goal should not be to promise zero leakage. The goal is to make the first transaction safer, more traceable, and more valuable on-platform than off-platform.</w:t>
      </w:r>
    </w:p>
    <w:p>
      <w:r>
        <w:drawing>
          <wp:inline xmlns:a="http://schemas.openxmlformats.org/drawingml/2006/main" xmlns:pic="http://schemas.openxmlformats.org/drawingml/2006/picture">
            <wp:extent cx="6309360" cy="3199962"/>
            <wp:docPr id="4" name="Picture 4"/>
            <wp:cNvGraphicFramePr>
              <a:graphicFrameLocks noChangeAspect="1"/>
            </wp:cNvGraphicFramePr>
            <a:graphic>
              <a:graphicData uri="http://schemas.openxmlformats.org/drawingml/2006/picture">
                <pic:pic>
                  <pic:nvPicPr>
                    <pic:cNvPr id="0" name="04_anti_leakage_loop.png"/>
                    <pic:cNvPicPr/>
                  </pic:nvPicPr>
                  <pic:blipFill>
                    <a:blip r:embed="rId12"/>
                    <a:stretch>
                      <a:fillRect/>
                    </a:stretch>
                  </pic:blipFill>
                  <pic:spPr>
                    <a:xfrm>
                      <a:off x="0" y="0"/>
                      <a:ext cx="6309360" cy="3199962"/>
                    </a:xfrm>
                    <a:prstGeom prst="rect"/>
                  </pic:spPr>
                </pic:pic>
              </a:graphicData>
            </a:graphic>
          </wp:inline>
        </w:drawing>
      </w:r>
    </w:p>
    <w:p>
      <w:pPr>
        <w:jc w:val="center"/>
      </w:pPr>
      <w:r>
        <w:rPr>
          <w:i/>
          <w:color w:val="66747A"/>
          <w:sz w:val="18"/>
        </w:rPr>
        <w:t>Figure 4. The anti-leakage loop turns platform participation into ongoing value.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243"/>
            <w:vAlign w:val="center"/>
          </w:tcPr>
          <w:p>
            <w:pPr>
              <w:spacing w:after="0"/>
            </w:pPr>
            <w:r/>
            <w:r>
              <w:rPr>
                <w:b/>
                <w:color w:val="FFFFFF"/>
                <w:sz w:val="18"/>
              </w:rPr>
              <w:t>Mechanism</w:t>
            </w:r>
          </w:p>
        </w:tc>
        <w:tc>
          <w:tcPr>
            <w:tcW w:type="dxa" w:w="3408"/>
            <w:shd w:fill="153243"/>
            <w:vAlign w:val="center"/>
          </w:tcPr>
          <w:p>
            <w:pPr>
              <w:spacing w:after="0"/>
            </w:pPr>
            <w:r/>
            <w:r>
              <w:rPr>
                <w:b/>
                <w:color w:val="FFFFFF"/>
                <w:sz w:val="18"/>
              </w:rPr>
              <w:t>Value created</w:t>
            </w:r>
          </w:p>
        </w:tc>
        <w:tc>
          <w:tcPr>
            <w:tcW w:type="dxa" w:w="3408"/>
            <w:shd w:fill="153243"/>
            <w:vAlign w:val="center"/>
          </w:tcPr>
          <w:p>
            <w:pPr>
              <w:spacing w:after="0"/>
            </w:pPr>
            <w:r/>
            <w:r>
              <w:rPr>
                <w:b/>
                <w:color w:val="FFFFFF"/>
                <w:sz w:val="18"/>
              </w:rPr>
              <w:t>Who benefits</w:t>
            </w:r>
          </w:p>
        </w:tc>
      </w:tr>
      <w:tr>
        <w:tc>
          <w:tcPr>
            <w:tcW w:type="dxa" w:w="3408"/>
            <w:shd w:fill="F7F3EC"/>
            <w:vAlign w:val="center"/>
          </w:tcPr>
          <w:p>
            <w:pPr>
              <w:spacing w:after="0"/>
            </w:pPr>
            <w:r/>
            <w:r>
              <w:rPr>
                <w:b w:val="0"/>
                <w:color w:val="263238"/>
                <w:sz w:val="17"/>
              </w:rPr>
              <w:t>Masked contact and approximate location</w:t>
            </w:r>
          </w:p>
        </w:tc>
        <w:tc>
          <w:tcPr>
            <w:tcW w:type="dxa" w:w="3408"/>
            <w:shd w:fill="F7F3EC"/>
            <w:vAlign w:val="center"/>
          </w:tcPr>
          <w:p>
            <w:pPr>
              <w:spacing w:after="0"/>
            </w:pPr>
            <w:r/>
            <w:r>
              <w:rPr>
                <w:b w:val="0"/>
                <w:color w:val="263238"/>
                <w:sz w:val="17"/>
              </w:rPr>
              <w:t>Prevents unrestricted scraping and protects the initial lead</w:t>
            </w:r>
          </w:p>
        </w:tc>
        <w:tc>
          <w:tcPr>
            <w:tcW w:type="dxa" w:w="3408"/>
            <w:shd w:fill="F7F3EC"/>
            <w:vAlign w:val="center"/>
          </w:tcPr>
          <w:p>
            <w:pPr>
              <w:spacing w:after="0"/>
            </w:pPr>
            <w:r/>
            <w:r>
              <w:rPr>
                <w:b w:val="0"/>
                <w:color w:val="263238"/>
                <w:sz w:val="17"/>
              </w:rPr>
              <w:t>Seeker, owner, agent, platform</w:t>
            </w:r>
          </w:p>
        </w:tc>
      </w:tr>
      <w:tr>
        <w:tc>
          <w:tcPr>
            <w:tcW w:type="dxa" w:w="3408"/>
            <w:shd w:fill="FFFFFF"/>
            <w:vAlign w:val="center"/>
          </w:tcPr>
          <w:p>
            <w:pPr>
              <w:spacing w:after="0"/>
            </w:pPr>
            <w:r/>
            <w:r>
              <w:rPr>
                <w:b w:val="0"/>
                <w:color w:val="263238"/>
                <w:sz w:val="17"/>
              </w:rPr>
              <w:t>Timestamped deal ownership</w:t>
            </w:r>
          </w:p>
        </w:tc>
        <w:tc>
          <w:tcPr>
            <w:tcW w:type="dxa" w:w="3408"/>
            <w:shd w:fill="FFFFFF"/>
            <w:vAlign w:val="center"/>
          </w:tcPr>
          <w:p>
            <w:pPr>
              <w:spacing w:after="0"/>
            </w:pPr>
            <w:r/>
            <w:r>
              <w:rPr>
                <w:b w:val="0"/>
                <w:color w:val="263238"/>
                <w:sz w:val="17"/>
              </w:rPr>
              <w:t>Creates evidence that an agent introduced and worked the lead</w:t>
            </w:r>
          </w:p>
        </w:tc>
        <w:tc>
          <w:tcPr>
            <w:tcW w:type="dxa" w:w="3408"/>
            <w:shd w:fill="FFFFFF"/>
            <w:vAlign w:val="center"/>
          </w:tcPr>
          <w:p>
            <w:pPr>
              <w:spacing w:after="0"/>
            </w:pPr>
            <w:r/>
            <w:r>
              <w:rPr>
                <w:b w:val="0"/>
                <w:color w:val="263238"/>
                <w:sz w:val="17"/>
              </w:rPr>
              <w:t>Agent</w:t>
            </w:r>
          </w:p>
        </w:tc>
      </w:tr>
      <w:tr>
        <w:tc>
          <w:tcPr>
            <w:tcW w:type="dxa" w:w="3408"/>
            <w:shd w:fill="F7F3EC"/>
            <w:vAlign w:val="center"/>
          </w:tcPr>
          <w:p>
            <w:pPr>
              <w:spacing w:after="0"/>
            </w:pPr>
            <w:r/>
            <w:r>
              <w:rPr>
                <w:b w:val="0"/>
                <w:color w:val="263238"/>
                <w:sz w:val="17"/>
              </w:rPr>
              <w:t>Escrow, receipt, and dispute path</w:t>
            </w:r>
          </w:p>
        </w:tc>
        <w:tc>
          <w:tcPr>
            <w:tcW w:type="dxa" w:w="3408"/>
            <w:shd w:fill="F7F3EC"/>
            <w:vAlign w:val="center"/>
          </w:tcPr>
          <w:p>
            <w:pPr>
              <w:spacing w:after="0"/>
            </w:pPr>
            <w:r/>
            <w:r>
              <w:rPr>
                <w:b w:val="0"/>
                <w:color w:val="263238"/>
                <w:sz w:val="17"/>
              </w:rPr>
              <w:t>Makes the platform the safer payment route</w:t>
            </w:r>
          </w:p>
        </w:tc>
        <w:tc>
          <w:tcPr>
            <w:tcW w:type="dxa" w:w="3408"/>
            <w:shd w:fill="F7F3EC"/>
            <w:vAlign w:val="center"/>
          </w:tcPr>
          <w:p>
            <w:pPr>
              <w:spacing w:after="0"/>
            </w:pPr>
            <w:r/>
            <w:r>
              <w:rPr>
                <w:b w:val="0"/>
                <w:color w:val="263238"/>
                <w:sz w:val="17"/>
              </w:rPr>
              <w:t>Seeker and owner</w:t>
            </w:r>
          </w:p>
        </w:tc>
      </w:tr>
      <w:tr>
        <w:tc>
          <w:tcPr>
            <w:tcW w:type="dxa" w:w="3408"/>
            <w:shd w:fill="FFFFFF"/>
            <w:vAlign w:val="center"/>
          </w:tcPr>
          <w:p>
            <w:pPr>
              <w:spacing w:after="0"/>
            </w:pPr>
            <w:r/>
            <w:r>
              <w:rPr>
                <w:b w:val="0"/>
                <w:color w:val="263238"/>
                <w:sz w:val="17"/>
              </w:rPr>
              <w:t>Visible reputation and completed-deal history</w:t>
            </w:r>
          </w:p>
        </w:tc>
        <w:tc>
          <w:tcPr>
            <w:tcW w:type="dxa" w:w="3408"/>
            <w:shd w:fill="FFFFFF"/>
            <w:vAlign w:val="center"/>
          </w:tcPr>
          <w:p>
            <w:pPr>
              <w:spacing w:after="0"/>
            </w:pPr>
            <w:r/>
            <w:r>
              <w:rPr>
                <w:b w:val="0"/>
                <w:color w:val="263238"/>
                <w:sz w:val="17"/>
              </w:rPr>
              <w:t>Rewards participants who complete transactions on-platform</w:t>
            </w:r>
          </w:p>
        </w:tc>
        <w:tc>
          <w:tcPr>
            <w:tcW w:type="dxa" w:w="3408"/>
            <w:shd w:fill="FFFFFF"/>
            <w:vAlign w:val="center"/>
          </w:tcPr>
          <w:p>
            <w:pPr>
              <w:spacing w:after="0"/>
            </w:pPr>
            <w:r/>
            <w:r>
              <w:rPr>
                <w:b w:val="0"/>
                <w:color w:val="263238"/>
                <w:sz w:val="17"/>
              </w:rPr>
              <w:t>Agent and moderator</w:t>
            </w:r>
          </w:p>
        </w:tc>
      </w:tr>
      <w:tr>
        <w:tc>
          <w:tcPr>
            <w:tcW w:type="dxa" w:w="3408"/>
            <w:shd w:fill="F7F3EC"/>
            <w:vAlign w:val="center"/>
          </w:tcPr>
          <w:p>
            <w:pPr>
              <w:spacing w:after="0"/>
            </w:pPr>
            <w:r/>
            <w:r>
              <w:rPr>
                <w:b w:val="0"/>
                <w:color w:val="263238"/>
                <w:sz w:val="17"/>
              </w:rPr>
              <w:t>Freshness and verification record</w:t>
            </w:r>
          </w:p>
        </w:tc>
        <w:tc>
          <w:tcPr>
            <w:tcW w:type="dxa" w:w="3408"/>
            <w:shd w:fill="F7F3EC"/>
            <w:vAlign w:val="center"/>
          </w:tcPr>
          <w:p>
            <w:pPr>
              <w:spacing w:after="0"/>
            </w:pPr>
            <w:r/>
            <w:r>
              <w:rPr>
                <w:b w:val="0"/>
                <w:color w:val="263238"/>
                <w:sz w:val="17"/>
              </w:rPr>
              <w:t>Preserves a credible listing status</w:t>
            </w:r>
          </w:p>
        </w:tc>
        <w:tc>
          <w:tcPr>
            <w:tcW w:type="dxa" w:w="3408"/>
            <w:shd w:fill="F7F3EC"/>
            <w:vAlign w:val="center"/>
          </w:tcPr>
          <w:p>
            <w:pPr>
              <w:spacing w:after="0"/>
            </w:pPr>
            <w:r/>
            <w:r>
              <w:rPr>
                <w:b w:val="0"/>
                <w:color w:val="263238"/>
                <w:sz w:val="17"/>
              </w:rPr>
              <w:t>Seeker and platform</w:t>
            </w:r>
          </w:p>
        </w:tc>
      </w:tr>
      <w:tr>
        <w:tc>
          <w:tcPr>
            <w:tcW w:type="dxa" w:w="3408"/>
            <w:shd w:fill="FFFFFF"/>
            <w:vAlign w:val="center"/>
          </w:tcPr>
          <w:p>
            <w:pPr>
              <w:spacing w:after="0"/>
            </w:pPr>
            <w:r/>
            <w:r>
              <w:rPr>
                <w:b w:val="0"/>
                <w:color w:val="263238"/>
                <w:sz w:val="17"/>
              </w:rPr>
              <w:t>Repeat services</w:t>
            </w:r>
          </w:p>
        </w:tc>
        <w:tc>
          <w:tcPr>
            <w:tcW w:type="dxa" w:w="3408"/>
            <w:shd w:fill="FFFFFF"/>
            <w:vAlign w:val="center"/>
          </w:tcPr>
          <w:p>
            <w:pPr>
              <w:spacing w:after="0"/>
            </w:pPr>
            <w:r/>
            <w:r>
              <w:rPr>
                <w:b w:val="0"/>
                <w:color w:val="263238"/>
                <w:sz w:val="17"/>
              </w:rPr>
              <w:t>Adds renewal reminders, records, templates, and referrals</w:t>
            </w:r>
          </w:p>
        </w:tc>
        <w:tc>
          <w:tcPr>
            <w:tcW w:type="dxa" w:w="3408"/>
            <w:shd w:fill="FFFFFF"/>
            <w:vAlign w:val="center"/>
          </w:tcPr>
          <w:p>
            <w:pPr>
              <w:spacing w:after="0"/>
            </w:pPr>
            <w:r/>
            <w:r>
              <w:rPr>
                <w:b w:val="0"/>
                <w:color w:val="263238"/>
                <w:sz w:val="17"/>
              </w:rPr>
              <w:t>Seeker, agent, platform</w:t>
            </w:r>
          </w:p>
        </w:tc>
      </w:tr>
    </w:tbl>
    <w:p>
      <w:pPr>
        <w:spacing w:after="20"/>
      </w:pPr>
    </w:p>
    <w:p>
      <w:pPr>
        <w:pStyle w:val="Heading1"/>
      </w:pPr>
      <w:r>
        <w:t>6. Illustrative monthly economics</w:t>
      </w:r>
    </w:p>
    <w:p>
      <w:r>
        <w:t>The following example uses five closed deals at an average 40,000 XAF monthly rent and 20 verification jobs at 1,500 XAF each. It is an illustration of mechanics, not a forecast.</w:t>
      </w:r>
    </w:p>
    <w:p>
      <w:r>
        <w:drawing>
          <wp:inline xmlns:a="http://schemas.openxmlformats.org/drawingml/2006/main" xmlns:pic="http://schemas.openxmlformats.org/drawingml/2006/picture">
            <wp:extent cx="6126480" cy="3676522"/>
            <wp:docPr id="5" name="Picture 5"/>
            <wp:cNvGraphicFramePr>
              <a:graphicFrameLocks noChangeAspect="1"/>
            </wp:cNvGraphicFramePr>
            <a:graphic>
              <a:graphicData uri="http://schemas.openxmlformats.org/drawingml/2006/picture">
                <pic:pic>
                  <pic:nvPicPr>
                    <pic:cNvPr id="0" name="05_monthly_economics.png"/>
                    <pic:cNvPicPr/>
                  </pic:nvPicPr>
                  <pic:blipFill>
                    <a:blip r:embed="rId13"/>
                    <a:stretch>
                      <a:fillRect/>
                    </a:stretch>
                  </pic:blipFill>
                  <pic:spPr>
                    <a:xfrm>
                      <a:off x="0" y="0"/>
                      <a:ext cx="6126480" cy="3676522"/>
                    </a:xfrm>
                    <a:prstGeom prst="rect"/>
                  </pic:spPr>
                </pic:pic>
              </a:graphicData>
            </a:graphic>
          </wp:inline>
        </w:drawing>
      </w:r>
    </w:p>
    <w:p>
      <w:pPr>
        <w:jc w:val="center"/>
      </w:pPr>
      <w:r>
        <w:rPr>
          <w:i/>
          <w:color w:val="66747A"/>
          <w:sz w:val="18"/>
        </w:rPr>
        <w:t>Figure 5. Example gross earnings before operating expenses, provider fees, refunds, and disputes.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53243"/>
            <w:vAlign w:val="center"/>
          </w:tcPr>
          <w:p>
            <w:pPr>
              <w:spacing w:after="0"/>
            </w:pPr>
            <w:r/>
            <w:r>
              <w:rPr>
                <w:b/>
                <w:color w:val="FFFFFF"/>
                <w:sz w:val="18"/>
              </w:rPr>
              <w:t>Stream</w:t>
            </w:r>
          </w:p>
        </w:tc>
        <w:tc>
          <w:tcPr>
            <w:tcW w:type="dxa" w:w="2556"/>
            <w:shd w:fill="153243"/>
            <w:vAlign w:val="center"/>
          </w:tcPr>
          <w:p>
            <w:pPr>
              <w:spacing w:after="0"/>
            </w:pPr>
            <w:r/>
            <w:r>
              <w:rPr>
                <w:b/>
                <w:color w:val="FFFFFF"/>
                <w:sz w:val="18"/>
              </w:rPr>
              <w:t>Illustrative monthly volume</w:t>
            </w:r>
          </w:p>
        </w:tc>
        <w:tc>
          <w:tcPr>
            <w:tcW w:type="dxa" w:w="2556"/>
            <w:shd w:fill="153243"/>
            <w:vAlign w:val="center"/>
          </w:tcPr>
          <w:p>
            <w:pPr>
              <w:spacing w:after="0"/>
            </w:pPr>
            <w:r/>
            <w:r>
              <w:rPr>
                <w:b/>
                <w:color w:val="FFFFFF"/>
                <w:sz w:val="18"/>
              </w:rPr>
              <w:t>Agent / moderator earnings</w:t>
            </w:r>
          </w:p>
        </w:tc>
        <w:tc>
          <w:tcPr>
            <w:tcW w:type="dxa" w:w="2556"/>
            <w:shd w:fill="153243"/>
            <w:vAlign w:val="center"/>
          </w:tcPr>
          <w:p>
            <w:pPr>
              <w:spacing w:after="0"/>
            </w:pPr>
            <w:r/>
            <w:r>
              <w:rPr>
                <w:b/>
                <w:color w:val="FFFFFF"/>
                <w:sz w:val="18"/>
              </w:rPr>
              <w:t>Platform gross revenue</w:t>
            </w:r>
          </w:p>
        </w:tc>
      </w:tr>
      <w:tr>
        <w:tc>
          <w:tcPr>
            <w:tcW w:type="dxa" w:w="2556"/>
            <w:shd w:fill="F7F3EC"/>
            <w:vAlign w:val="center"/>
          </w:tcPr>
          <w:p>
            <w:pPr>
              <w:spacing w:after="0"/>
            </w:pPr>
            <w:r/>
            <w:r>
              <w:rPr>
                <w:b w:val="0"/>
                <w:color w:val="263238"/>
                <w:sz w:val="17"/>
              </w:rPr>
              <w:t>Closed-deal commission</w:t>
            </w:r>
          </w:p>
        </w:tc>
        <w:tc>
          <w:tcPr>
            <w:tcW w:type="dxa" w:w="2556"/>
            <w:shd w:fill="F7F3EC"/>
            <w:vAlign w:val="center"/>
          </w:tcPr>
          <w:p>
            <w:pPr>
              <w:spacing w:after="0"/>
            </w:pPr>
            <w:r/>
            <w:r>
              <w:rPr>
                <w:b w:val="0"/>
                <w:color w:val="263238"/>
                <w:sz w:val="17"/>
              </w:rPr>
              <w:t>5 × 40,000 XAF = 200,000 XAF pool</w:t>
            </w:r>
          </w:p>
        </w:tc>
        <w:tc>
          <w:tcPr>
            <w:tcW w:type="dxa" w:w="2556"/>
            <w:shd w:fill="F7F3EC"/>
            <w:vAlign w:val="center"/>
          </w:tcPr>
          <w:p>
            <w:pPr>
              <w:spacing w:after="0"/>
            </w:pPr>
            <w:r/>
            <w:r>
              <w:rPr>
                <w:b w:val="0"/>
                <w:color w:val="263238"/>
                <w:sz w:val="17"/>
              </w:rPr>
              <w:t>Agent 140,000 XAF; moderator 20,000 XAF</w:t>
            </w:r>
          </w:p>
        </w:tc>
        <w:tc>
          <w:tcPr>
            <w:tcW w:type="dxa" w:w="2556"/>
            <w:shd w:fill="F7F3EC"/>
            <w:vAlign w:val="center"/>
          </w:tcPr>
          <w:p>
            <w:pPr>
              <w:spacing w:after="0"/>
            </w:pPr>
            <w:r/>
            <w:r>
              <w:rPr>
                <w:b w:val="0"/>
                <w:color w:val="263238"/>
                <w:sz w:val="17"/>
              </w:rPr>
              <w:t>40,000 XAF</w:t>
            </w:r>
          </w:p>
        </w:tc>
      </w:tr>
      <w:tr>
        <w:tc>
          <w:tcPr>
            <w:tcW w:type="dxa" w:w="2556"/>
            <w:shd w:fill="FFFFFF"/>
            <w:vAlign w:val="center"/>
          </w:tcPr>
          <w:p>
            <w:pPr>
              <w:spacing w:after="0"/>
            </w:pPr>
            <w:r/>
            <w:r>
              <w:rPr>
                <w:b w:val="0"/>
                <w:color w:val="263238"/>
                <w:sz w:val="17"/>
              </w:rPr>
              <w:t>Verification</w:t>
            </w:r>
          </w:p>
        </w:tc>
        <w:tc>
          <w:tcPr>
            <w:tcW w:type="dxa" w:w="2556"/>
            <w:shd w:fill="FFFFFF"/>
            <w:vAlign w:val="center"/>
          </w:tcPr>
          <w:p>
            <w:pPr>
              <w:spacing w:after="0"/>
            </w:pPr>
            <w:r/>
            <w:r>
              <w:rPr>
                <w:b w:val="0"/>
                <w:color w:val="263238"/>
                <w:sz w:val="17"/>
              </w:rPr>
              <w:t>20 × 1,500 XAF = 30,000 XAF</w:t>
            </w:r>
          </w:p>
        </w:tc>
        <w:tc>
          <w:tcPr>
            <w:tcW w:type="dxa" w:w="2556"/>
            <w:shd w:fill="FFFFFF"/>
            <w:vAlign w:val="center"/>
          </w:tcPr>
          <w:p>
            <w:pPr>
              <w:spacing w:after="0"/>
            </w:pPr>
            <w:r/>
            <w:r>
              <w:rPr>
                <w:b w:val="0"/>
                <w:color w:val="263238"/>
                <w:sz w:val="17"/>
              </w:rPr>
              <w:t>Moderator 24,000 XAF</w:t>
            </w:r>
          </w:p>
        </w:tc>
        <w:tc>
          <w:tcPr>
            <w:tcW w:type="dxa" w:w="2556"/>
            <w:shd w:fill="FFFFFF"/>
            <w:vAlign w:val="center"/>
          </w:tcPr>
          <w:p>
            <w:pPr>
              <w:spacing w:after="0"/>
            </w:pPr>
            <w:r/>
            <w:r>
              <w:rPr>
                <w:b w:val="0"/>
                <w:color w:val="263238"/>
                <w:sz w:val="17"/>
              </w:rPr>
              <w:t>6,000 XAF</w:t>
            </w:r>
          </w:p>
        </w:tc>
      </w:tr>
      <w:tr>
        <w:tc>
          <w:tcPr>
            <w:tcW w:type="dxa" w:w="2556"/>
            <w:shd w:fill="F7F3EC"/>
            <w:vAlign w:val="center"/>
          </w:tcPr>
          <w:p>
            <w:pPr>
              <w:spacing w:after="0"/>
            </w:pPr>
            <w:r/>
            <w:r>
              <w:rPr>
                <w:b w:val="0"/>
                <w:color w:val="263238"/>
                <w:sz w:val="17"/>
              </w:rPr>
              <w:t>Escrow handling</w:t>
            </w:r>
          </w:p>
        </w:tc>
        <w:tc>
          <w:tcPr>
            <w:tcW w:type="dxa" w:w="2556"/>
            <w:shd w:fill="F7F3EC"/>
            <w:vAlign w:val="center"/>
          </w:tcPr>
          <w:p>
            <w:pPr>
              <w:spacing w:after="0"/>
            </w:pPr>
            <w:r/>
            <w:r>
              <w:rPr>
                <w:b w:val="0"/>
                <w:color w:val="263238"/>
                <w:sz w:val="17"/>
              </w:rPr>
              <w:t>5 × 1,500 XAF = 7,500 XAF</w:t>
            </w:r>
          </w:p>
        </w:tc>
        <w:tc>
          <w:tcPr>
            <w:tcW w:type="dxa" w:w="2556"/>
            <w:shd w:fill="F7F3EC"/>
            <w:vAlign w:val="center"/>
          </w:tcPr>
          <w:p>
            <w:pPr>
              <w:spacing w:after="0"/>
            </w:pPr>
            <w:r/>
            <w:r>
              <w:rPr>
                <w:b w:val="0"/>
                <w:color w:val="263238"/>
                <w:sz w:val="17"/>
              </w:rPr>
              <w:t>No direct commission assumed</w:t>
            </w:r>
          </w:p>
        </w:tc>
        <w:tc>
          <w:tcPr>
            <w:tcW w:type="dxa" w:w="2556"/>
            <w:shd w:fill="F7F3EC"/>
            <w:vAlign w:val="center"/>
          </w:tcPr>
          <w:p>
            <w:pPr>
              <w:spacing w:after="0"/>
            </w:pPr>
            <w:r/>
            <w:r>
              <w:rPr>
                <w:b w:val="0"/>
                <w:color w:val="263238"/>
                <w:sz w:val="17"/>
              </w:rPr>
              <w:t>7,500 XAF gross before provider costs</w:t>
            </w:r>
          </w:p>
        </w:tc>
      </w:tr>
      <w:tr>
        <w:tc>
          <w:tcPr>
            <w:tcW w:type="dxa" w:w="2556"/>
            <w:shd w:fill="FFFFFF"/>
            <w:vAlign w:val="center"/>
          </w:tcPr>
          <w:p>
            <w:pPr>
              <w:spacing w:after="0"/>
            </w:pPr>
            <w:r/>
            <w:r>
              <w:rPr>
                <w:b w:val="0"/>
                <w:color w:val="263238"/>
                <w:sz w:val="17"/>
              </w:rPr>
              <w:t>Illustrative total</w:t>
            </w:r>
          </w:p>
        </w:tc>
        <w:tc>
          <w:tcPr>
            <w:tcW w:type="dxa" w:w="2556"/>
            <w:shd w:fill="FFFFFF"/>
            <w:vAlign w:val="center"/>
          </w:tcPr>
          <w:p>
            <w:pPr>
              <w:spacing w:after="0"/>
            </w:pPr>
            <w:r/>
            <w:r>
              <w:rPr>
                <w:b w:val="0"/>
                <w:color w:val="263238"/>
                <w:sz w:val="17"/>
              </w:rPr>
              <w:t>—</w:t>
            </w:r>
          </w:p>
        </w:tc>
        <w:tc>
          <w:tcPr>
            <w:tcW w:type="dxa" w:w="2556"/>
            <w:shd w:fill="FFFFFF"/>
            <w:vAlign w:val="center"/>
          </w:tcPr>
          <w:p>
            <w:pPr>
              <w:spacing w:after="0"/>
            </w:pPr>
            <w:r/>
            <w:r>
              <w:rPr>
                <w:b w:val="0"/>
                <w:color w:val="263238"/>
                <w:sz w:val="17"/>
              </w:rPr>
              <w:t>Agent + moderator = 184,000 XAF</w:t>
            </w:r>
          </w:p>
        </w:tc>
        <w:tc>
          <w:tcPr>
            <w:tcW w:type="dxa" w:w="2556"/>
            <w:shd w:fill="FFFFFF"/>
            <w:vAlign w:val="center"/>
          </w:tcPr>
          <w:p>
            <w:pPr>
              <w:spacing w:after="0"/>
            </w:pPr>
            <w:r/>
            <w:r>
              <w:rPr>
                <w:b w:val="0"/>
                <w:color w:val="263238"/>
                <w:sz w:val="17"/>
              </w:rPr>
              <w:t>53,500 XAF gross before costs</w:t>
            </w:r>
          </w:p>
        </w:tc>
      </w:tr>
    </w:tbl>
    <w:p>
      <w:pPr>
        <w:spacing w:after="20"/>
      </w:pPr>
    </w:p>
    <w:p>
      <w:pPr>
        <w:pStyle w:val="Heading1"/>
      </w:pPr>
      <w:r>
        <w:t>7. Earnings examples for individuals</w:t>
      </w:r>
    </w:p>
    <w:p>
      <w:r>
        <w:t>If an agent closes four to six deals per month on rooms with monthly rent between 30,000 and 60,000 XAF, and the commission equals one month of rent, the agent’s 70% share would be approximately 84,000 to 252,000 XAF per month before personal costs. If a moderator verifies 15 to 20 listings per month at a 1,500 XAF fee and receives 1,200 XAF per verification, the verification-only income would be approximately 18,000 to 24,000 XAF, before any closed-deal commission slices.</w:t>
      </w:r>
    </w:p>
    <w:p>
      <w:r>
        <w:t>These are arithmetic examples derived from the assumptions supplied. They are not guaranteed earnings. Actual income depends on demand, property quality, local pricing, agent performance, verification volume, payment costs, disputes, and the final fee policy.</w:t>
      </w:r>
    </w:p>
    <w:p>
      <w:pPr>
        <w:pStyle w:val="Heading1"/>
      </w:pPr>
      <w:r>
        <w:t>8. Revenue streams by maturity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53243"/>
            <w:vAlign w:val="center"/>
          </w:tcPr>
          <w:p>
            <w:pPr>
              <w:spacing w:after="0"/>
            </w:pPr>
            <w:r/>
            <w:r>
              <w:rPr>
                <w:b/>
                <w:color w:val="FFFFFF"/>
                <w:sz w:val="18"/>
              </w:rPr>
              <w:t>Revenue stream</w:t>
            </w:r>
          </w:p>
        </w:tc>
        <w:tc>
          <w:tcPr>
            <w:tcW w:type="dxa" w:w="2556"/>
            <w:shd w:fill="153243"/>
            <w:vAlign w:val="center"/>
          </w:tcPr>
          <w:p>
            <w:pPr>
              <w:spacing w:after="0"/>
            </w:pPr>
            <w:r/>
            <w:r>
              <w:rPr>
                <w:b/>
                <w:color w:val="FFFFFF"/>
                <w:sz w:val="18"/>
              </w:rPr>
              <w:t>Who pays</w:t>
            </w:r>
          </w:p>
        </w:tc>
        <w:tc>
          <w:tcPr>
            <w:tcW w:type="dxa" w:w="2556"/>
            <w:shd w:fill="153243"/>
            <w:vAlign w:val="center"/>
          </w:tcPr>
          <w:p>
            <w:pPr>
              <w:spacing w:after="0"/>
            </w:pPr>
            <w:r/>
            <w:r>
              <w:rPr>
                <w:b/>
                <w:color w:val="FFFFFF"/>
                <w:sz w:val="18"/>
              </w:rPr>
              <w:t>When to introduce</w:t>
            </w:r>
          </w:p>
        </w:tc>
        <w:tc>
          <w:tcPr>
            <w:tcW w:type="dxa" w:w="2556"/>
            <w:shd w:fill="153243"/>
            <w:vAlign w:val="center"/>
          </w:tcPr>
          <w:p>
            <w:pPr>
              <w:spacing w:after="0"/>
            </w:pPr>
            <w:r/>
            <w:r>
              <w:rPr>
                <w:b/>
                <w:color w:val="FFFFFF"/>
                <w:sz w:val="18"/>
              </w:rPr>
              <w:t>Platform role</w:t>
            </w:r>
          </w:p>
        </w:tc>
      </w:tr>
      <w:tr>
        <w:tc>
          <w:tcPr>
            <w:tcW w:type="dxa" w:w="2556"/>
            <w:shd w:fill="F7F3EC"/>
            <w:vAlign w:val="center"/>
          </w:tcPr>
          <w:p>
            <w:pPr>
              <w:spacing w:after="0"/>
            </w:pPr>
            <w:r/>
            <w:r>
              <w:rPr>
                <w:b w:val="0"/>
                <w:color w:val="263238"/>
                <w:sz w:val="17"/>
              </w:rPr>
              <w:t>Closed-deal commission share</w:t>
            </w:r>
          </w:p>
        </w:tc>
        <w:tc>
          <w:tcPr>
            <w:tcW w:type="dxa" w:w="2556"/>
            <w:shd w:fill="F7F3EC"/>
            <w:vAlign w:val="center"/>
          </w:tcPr>
          <w:p>
            <w:pPr>
              <w:spacing w:after="0"/>
            </w:pPr>
            <w:r/>
            <w:r>
              <w:rPr>
                <w:b w:val="0"/>
                <w:color w:val="263238"/>
                <w:sz w:val="17"/>
              </w:rPr>
              <w:t>Transaction participants according to transparent fee policy</w:t>
            </w:r>
          </w:p>
        </w:tc>
        <w:tc>
          <w:tcPr>
            <w:tcW w:type="dxa" w:w="2556"/>
            <w:shd w:fill="F7F3EC"/>
            <w:vAlign w:val="center"/>
          </w:tcPr>
          <w:p>
            <w:pPr>
              <w:spacing w:after="0"/>
            </w:pPr>
            <w:r/>
            <w:r>
              <w:rPr>
                <w:b w:val="0"/>
                <w:color w:val="263238"/>
                <w:sz w:val="17"/>
              </w:rPr>
              <w:t>Core launch revenue after trust and settlement are working</w:t>
            </w:r>
          </w:p>
        </w:tc>
        <w:tc>
          <w:tcPr>
            <w:tcW w:type="dxa" w:w="2556"/>
            <w:shd w:fill="F7F3EC"/>
            <w:vAlign w:val="center"/>
          </w:tcPr>
          <w:p>
            <w:pPr>
              <w:spacing w:after="0"/>
            </w:pPr>
            <w:r/>
            <w:r>
              <w:rPr>
                <w:b w:val="0"/>
                <w:color w:val="263238"/>
                <w:sz w:val="17"/>
              </w:rPr>
              <w:t>Take 20% illustrative share of the commission pool</w:t>
            </w:r>
          </w:p>
        </w:tc>
      </w:tr>
      <w:tr>
        <w:tc>
          <w:tcPr>
            <w:tcW w:type="dxa" w:w="2556"/>
            <w:shd w:fill="FFFFFF"/>
            <w:vAlign w:val="center"/>
          </w:tcPr>
          <w:p>
            <w:pPr>
              <w:spacing w:after="0"/>
            </w:pPr>
            <w:r/>
            <w:r>
              <w:rPr>
                <w:b w:val="0"/>
                <w:color w:val="263238"/>
                <w:sz w:val="17"/>
              </w:rPr>
              <w:t>Verification processing share</w:t>
            </w:r>
          </w:p>
        </w:tc>
        <w:tc>
          <w:tcPr>
            <w:tcW w:type="dxa" w:w="2556"/>
            <w:shd w:fill="FFFFFF"/>
            <w:vAlign w:val="center"/>
          </w:tcPr>
          <w:p>
            <w:pPr>
              <w:spacing w:after="0"/>
            </w:pPr>
            <w:r/>
            <w:r>
              <w:rPr>
                <w:b w:val="0"/>
                <w:color w:val="263238"/>
                <w:sz w:val="17"/>
              </w:rPr>
              <w:t>Owner or agent</w:t>
            </w:r>
          </w:p>
        </w:tc>
        <w:tc>
          <w:tcPr>
            <w:tcW w:type="dxa" w:w="2556"/>
            <w:shd w:fill="FFFFFF"/>
            <w:vAlign w:val="center"/>
          </w:tcPr>
          <w:p>
            <w:pPr>
              <w:spacing w:after="0"/>
            </w:pPr>
            <w:r/>
            <w:r>
              <w:rPr>
                <w:b w:val="0"/>
                <w:color w:val="263238"/>
                <w:sz w:val="17"/>
              </w:rPr>
              <w:t>Early, once verification is defined and auditable</w:t>
            </w:r>
          </w:p>
        </w:tc>
        <w:tc>
          <w:tcPr>
            <w:tcW w:type="dxa" w:w="2556"/>
            <w:shd w:fill="FFFFFF"/>
            <w:vAlign w:val="center"/>
          </w:tcPr>
          <w:p>
            <w:pPr>
              <w:spacing w:after="0"/>
            </w:pPr>
            <w:r/>
            <w:r>
              <w:rPr>
                <w:b w:val="0"/>
                <w:color w:val="263238"/>
                <w:sz w:val="17"/>
              </w:rPr>
              <w:t>Coordinate payment record and verification evidence</w:t>
            </w:r>
          </w:p>
        </w:tc>
      </w:tr>
      <w:tr>
        <w:tc>
          <w:tcPr>
            <w:tcW w:type="dxa" w:w="2556"/>
            <w:shd w:fill="F7F3EC"/>
            <w:vAlign w:val="center"/>
          </w:tcPr>
          <w:p>
            <w:pPr>
              <w:spacing w:after="0"/>
            </w:pPr>
            <w:r/>
            <w:r>
              <w:rPr>
                <w:b w:val="0"/>
                <w:color w:val="263238"/>
                <w:sz w:val="17"/>
              </w:rPr>
              <w:t>Escrow handling fee</w:t>
            </w:r>
          </w:p>
        </w:tc>
        <w:tc>
          <w:tcPr>
            <w:tcW w:type="dxa" w:w="2556"/>
            <w:shd w:fill="F7F3EC"/>
            <w:vAlign w:val="center"/>
          </w:tcPr>
          <w:p>
            <w:pPr>
              <w:spacing w:after="0"/>
            </w:pPr>
            <w:r/>
            <w:r>
              <w:rPr>
                <w:b w:val="0"/>
                <w:color w:val="263238"/>
                <w:sz w:val="17"/>
              </w:rPr>
              <w:t>Seeker, owner, or split according to policy</w:t>
            </w:r>
          </w:p>
        </w:tc>
        <w:tc>
          <w:tcPr>
            <w:tcW w:type="dxa" w:w="2556"/>
            <w:shd w:fill="F7F3EC"/>
            <w:vAlign w:val="center"/>
          </w:tcPr>
          <w:p>
            <w:pPr>
              <w:spacing w:after="0"/>
            </w:pPr>
            <w:r/>
            <w:r>
              <w:rPr>
                <w:b w:val="0"/>
                <w:color w:val="263238"/>
                <w:sz w:val="17"/>
              </w:rPr>
              <w:t>Only after legal and payment-provider validation</w:t>
            </w:r>
          </w:p>
        </w:tc>
        <w:tc>
          <w:tcPr>
            <w:tcW w:type="dxa" w:w="2556"/>
            <w:shd w:fill="F7F3EC"/>
            <w:vAlign w:val="center"/>
          </w:tcPr>
          <w:p>
            <w:pPr>
              <w:spacing w:after="0"/>
            </w:pPr>
            <w:r/>
            <w:r>
              <w:rPr>
                <w:b w:val="0"/>
                <w:color w:val="263238"/>
                <w:sz w:val="17"/>
              </w:rPr>
              <w:t>Provide safe settlement, receipts, and dispute process</w:t>
            </w:r>
          </w:p>
        </w:tc>
      </w:tr>
      <w:tr>
        <w:tc>
          <w:tcPr>
            <w:tcW w:type="dxa" w:w="2556"/>
            <w:shd w:fill="FFFFFF"/>
            <w:vAlign w:val="center"/>
          </w:tcPr>
          <w:p>
            <w:pPr>
              <w:spacing w:after="0"/>
            </w:pPr>
            <w:r/>
            <w:r>
              <w:rPr>
                <w:b w:val="0"/>
                <w:color w:val="263238"/>
                <w:sz w:val="17"/>
              </w:rPr>
              <w:t>Featured listings</w:t>
            </w:r>
          </w:p>
        </w:tc>
        <w:tc>
          <w:tcPr>
            <w:tcW w:type="dxa" w:w="2556"/>
            <w:shd w:fill="FFFFFF"/>
            <w:vAlign w:val="center"/>
          </w:tcPr>
          <w:p>
            <w:pPr>
              <w:spacing w:after="0"/>
            </w:pPr>
            <w:r/>
            <w:r>
              <w:rPr>
                <w:b w:val="0"/>
                <w:color w:val="263238"/>
                <w:sz w:val="17"/>
              </w:rPr>
              <w:t>Owner or agent</w:t>
            </w:r>
          </w:p>
        </w:tc>
        <w:tc>
          <w:tcPr>
            <w:tcW w:type="dxa" w:w="2556"/>
            <w:shd w:fill="FFFFFF"/>
            <w:vAlign w:val="center"/>
          </w:tcPr>
          <w:p>
            <w:pPr>
              <w:spacing w:after="0"/>
            </w:pPr>
            <w:r/>
            <w:r>
              <w:rPr>
                <w:b w:val="0"/>
                <w:color w:val="263238"/>
                <w:sz w:val="17"/>
              </w:rPr>
              <w:t>Later, after meaningful search traffic exists</w:t>
            </w:r>
          </w:p>
        </w:tc>
        <w:tc>
          <w:tcPr>
            <w:tcW w:type="dxa" w:w="2556"/>
            <w:shd w:fill="FFFFFF"/>
            <w:vAlign w:val="center"/>
          </w:tcPr>
          <w:p>
            <w:pPr>
              <w:spacing w:after="0"/>
            </w:pPr>
            <w:r/>
            <w:r>
              <w:rPr>
                <w:b w:val="0"/>
                <w:color w:val="263238"/>
                <w:sz w:val="17"/>
              </w:rPr>
              <w:t>Sell visibility separately from verification</w:t>
            </w:r>
          </w:p>
        </w:tc>
      </w:tr>
      <w:tr>
        <w:tc>
          <w:tcPr>
            <w:tcW w:type="dxa" w:w="2556"/>
            <w:shd w:fill="F7F3EC"/>
            <w:vAlign w:val="center"/>
          </w:tcPr>
          <w:p>
            <w:pPr>
              <w:spacing w:after="0"/>
            </w:pPr>
            <w:r/>
            <w:r>
              <w:rPr>
                <w:b w:val="0"/>
                <w:color w:val="263238"/>
                <w:sz w:val="17"/>
              </w:rPr>
              <w:t>Agent subscription tools</w:t>
            </w:r>
          </w:p>
        </w:tc>
        <w:tc>
          <w:tcPr>
            <w:tcW w:type="dxa" w:w="2556"/>
            <w:shd w:fill="F7F3EC"/>
            <w:vAlign w:val="center"/>
          </w:tcPr>
          <w:p>
            <w:pPr>
              <w:spacing w:after="0"/>
            </w:pPr>
            <w:r/>
            <w:r>
              <w:rPr>
                <w:b w:val="0"/>
                <w:color w:val="263238"/>
                <w:sz w:val="17"/>
              </w:rPr>
              <w:t>Agents</w:t>
            </w:r>
          </w:p>
        </w:tc>
        <w:tc>
          <w:tcPr>
            <w:tcW w:type="dxa" w:w="2556"/>
            <w:shd w:fill="F7F3EC"/>
            <w:vAlign w:val="center"/>
          </w:tcPr>
          <w:p>
            <w:pPr>
              <w:spacing w:after="0"/>
            </w:pPr>
            <w:r/>
            <w:r>
              <w:rPr>
                <w:b w:val="0"/>
                <w:color w:val="263238"/>
                <w:sz w:val="17"/>
              </w:rPr>
              <w:t>Later, after agents receive measurable value</w:t>
            </w:r>
          </w:p>
        </w:tc>
        <w:tc>
          <w:tcPr>
            <w:tcW w:type="dxa" w:w="2556"/>
            <w:shd w:fill="F7F3EC"/>
            <w:vAlign w:val="center"/>
          </w:tcPr>
          <w:p>
            <w:pPr>
              <w:spacing w:after="0"/>
            </w:pPr>
            <w:r/>
            <w:r>
              <w:rPr>
                <w:b w:val="0"/>
                <w:color w:val="263238"/>
                <w:sz w:val="17"/>
              </w:rPr>
              <w:t>Offer analytics, lead management, and workflow tools</w:t>
            </w:r>
          </w:p>
        </w:tc>
      </w:tr>
    </w:tbl>
    <w:p>
      <w:pPr>
        <w:spacing w:after="20"/>
      </w:pPr>
    </w:p>
    <w:p>
      <w:r>
        <w:t>The platform should not charge seekers to browse or charge owners merely to list during the early marketplace-building stage. Fees should be connected to real value: verification, visibility, settlement protection, or completed transactions.</w:t>
      </w:r>
    </w:p>
    <w:p>
      <w:pPr>
        <w:pStyle w:val="Heading1"/>
      </w:pPr>
      <w:r>
        <w:t>9. Controls, risks, and safeguards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243"/>
            <w:vAlign w:val="center"/>
          </w:tcPr>
          <w:p>
            <w:pPr>
              <w:spacing w:after="0"/>
            </w:pPr>
            <w:r/>
            <w:r>
              <w:rPr>
                <w:b/>
                <w:color w:val="FFFFFF"/>
                <w:sz w:val="18"/>
              </w:rPr>
              <w:t>Risk</w:t>
            </w:r>
          </w:p>
        </w:tc>
        <w:tc>
          <w:tcPr>
            <w:tcW w:type="dxa" w:w="3408"/>
            <w:shd w:fill="153243"/>
            <w:vAlign w:val="center"/>
          </w:tcPr>
          <w:p>
            <w:pPr>
              <w:spacing w:after="0"/>
            </w:pPr>
            <w:r/>
            <w:r>
              <w:rPr>
                <w:b/>
                <w:color w:val="FFFFFF"/>
                <w:sz w:val="18"/>
              </w:rPr>
              <w:t>Why it matters</w:t>
            </w:r>
          </w:p>
        </w:tc>
        <w:tc>
          <w:tcPr>
            <w:tcW w:type="dxa" w:w="3408"/>
            <w:shd w:fill="153243"/>
            <w:vAlign w:val="center"/>
          </w:tcPr>
          <w:p>
            <w:pPr>
              <w:spacing w:after="0"/>
            </w:pPr>
            <w:r/>
            <w:r>
              <w:rPr>
                <w:b/>
                <w:color w:val="FFFFFF"/>
                <w:sz w:val="18"/>
              </w:rPr>
              <w:t>Required safeguard</w:t>
            </w:r>
          </w:p>
        </w:tc>
      </w:tr>
      <w:tr>
        <w:tc>
          <w:tcPr>
            <w:tcW w:type="dxa" w:w="3408"/>
            <w:shd w:fill="F7F3EC"/>
            <w:vAlign w:val="center"/>
          </w:tcPr>
          <w:p>
            <w:pPr>
              <w:spacing w:after="0"/>
            </w:pPr>
            <w:r/>
            <w:r>
              <w:rPr>
                <w:b w:val="0"/>
                <w:color w:val="263238"/>
                <w:sz w:val="17"/>
              </w:rPr>
              <w:t>Rubber-stamped verification</w:t>
            </w:r>
          </w:p>
        </w:tc>
        <w:tc>
          <w:tcPr>
            <w:tcW w:type="dxa" w:w="3408"/>
            <w:shd w:fill="F7F3EC"/>
            <w:vAlign w:val="center"/>
          </w:tcPr>
          <w:p>
            <w:pPr>
              <w:spacing w:after="0"/>
            </w:pPr>
            <w:r/>
            <w:r>
              <w:rPr>
                <w:b w:val="0"/>
                <w:color w:val="263238"/>
                <w:sz w:val="17"/>
              </w:rPr>
              <w:t>A moderator may claim a visit without doing the work</w:t>
            </w:r>
          </w:p>
        </w:tc>
        <w:tc>
          <w:tcPr>
            <w:tcW w:type="dxa" w:w="3408"/>
            <w:shd w:fill="F7F3EC"/>
            <w:vAlign w:val="center"/>
          </w:tcPr>
          <w:p>
            <w:pPr>
              <w:spacing w:after="0"/>
            </w:pPr>
            <w:r/>
            <w:r>
              <w:rPr>
                <w:b w:val="0"/>
                <w:color w:val="263238"/>
                <w:sz w:val="17"/>
              </w:rPr>
              <w:t>Photo and location evidence, timestamp, random review, seeker feedback</w:t>
            </w:r>
          </w:p>
        </w:tc>
      </w:tr>
      <w:tr>
        <w:tc>
          <w:tcPr>
            <w:tcW w:type="dxa" w:w="3408"/>
            <w:shd w:fill="FFFFFF"/>
            <w:vAlign w:val="center"/>
          </w:tcPr>
          <w:p>
            <w:pPr>
              <w:spacing w:after="0"/>
            </w:pPr>
            <w:r/>
            <w:r>
              <w:rPr>
                <w:b w:val="0"/>
                <w:color w:val="263238"/>
                <w:sz w:val="17"/>
              </w:rPr>
              <w:t>Agent or seeker leakage</w:t>
            </w:r>
          </w:p>
        </w:tc>
        <w:tc>
          <w:tcPr>
            <w:tcW w:type="dxa" w:w="3408"/>
            <w:shd w:fill="FFFFFF"/>
            <w:vAlign w:val="center"/>
          </w:tcPr>
          <w:p>
            <w:pPr>
              <w:spacing w:after="0"/>
            </w:pPr>
            <w:r/>
            <w:r>
              <w:rPr>
                <w:b w:val="0"/>
                <w:color w:val="263238"/>
                <w:sz w:val="17"/>
              </w:rPr>
              <w:t>The deal may move off-platform after the introduction</w:t>
            </w:r>
          </w:p>
        </w:tc>
        <w:tc>
          <w:tcPr>
            <w:tcW w:type="dxa" w:w="3408"/>
            <w:shd w:fill="FFFFFF"/>
            <w:vAlign w:val="center"/>
          </w:tcPr>
          <w:p>
            <w:pPr>
              <w:spacing w:after="0"/>
            </w:pPr>
            <w:r/>
            <w:r>
              <w:rPr>
                <w:b w:val="0"/>
                <w:color w:val="263238"/>
                <w:sz w:val="17"/>
              </w:rPr>
              <w:t>Masked contact, timestamped ownership, dispute proof, reputation, fair fees</w:t>
            </w:r>
          </w:p>
        </w:tc>
      </w:tr>
      <w:tr>
        <w:tc>
          <w:tcPr>
            <w:tcW w:type="dxa" w:w="3408"/>
            <w:shd w:fill="F7F3EC"/>
            <w:vAlign w:val="center"/>
          </w:tcPr>
          <w:p>
            <w:pPr>
              <w:spacing w:after="0"/>
            </w:pPr>
            <w:r/>
            <w:r>
              <w:rPr>
                <w:b w:val="0"/>
                <w:color w:val="263238"/>
                <w:sz w:val="17"/>
              </w:rPr>
              <w:t>Escrow misuse</w:t>
            </w:r>
          </w:p>
        </w:tc>
        <w:tc>
          <w:tcPr>
            <w:tcW w:type="dxa" w:w="3408"/>
            <w:shd w:fill="F7F3EC"/>
            <w:vAlign w:val="center"/>
          </w:tcPr>
          <w:p>
            <w:pPr>
              <w:spacing w:after="0"/>
            </w:pPr>
            <w:r/>
            <w:r>
              <w:rPr>
                <w:b w:val="0"/>
                <w:color w:val="263238"/>
                <w:sz w:val="17"/>
              </w:rPr>
              <w:t>Holding deposits can create legal, financial, and consumer-protection obligations</w:t>
            </w:r>
          </w:p>
        </w:tc>
        <w:tc>
          <w:tcPr>
            <w:tcW w:type="dxa" w:w="3408"/>
            <w:shd w:fill="F7F3EC"/>
            <w:vAlign w:val="center"/>
          </w:tcPr>
          <w:p>
            <w:pPr>
              <w:spacing w:after="0"/>
            </w:pPr>
            <w:r/>
            <w:r>
              <w:rPr>
                <w:b w:val="0"/>
                <w:color w:val="263238"/>
                <w:sz w:val="17"/>
              </w:rPr>
              <w:t>Use a compliant payment partner; define release, refund, dispute, and reconciliation rules</w:t>
            </w:r>
          </w:p>
        </w:tc>
      </w:tr>
      <w:tr>
        <w:tc>
          <w:tcPr>
            <w:tcW w:type="dxa" w:w="3408"/>
            <w:shd w:fill="FFFFFF"/>
            <w:vAlign w:val="center"/>
          </w:tcPr>
          <w:p>
            <w:pPr>
              <w:spacing w:after="0"/>
            </w:pPr>
            <w:r/>
            <w:r>
              <w:rPr>
                <w:b w:val="0"/>
                <w:color w:val="263238"/>
                <w:sz w:val="17"/>
              </w:rPr>
              <w:t>Unclear commission trigger</w:t>
            </w:r>
          </w:p>
        </w:tc>
        <w:tc>
          <w:tcPr>
            <w:tcW w:type="dxa" w:w="3408"/>
            <w:shd w:fill="FFFFFF"/>
            <w:vAlign w:val="center"/>
          </w:tcPr>
          <w:p>
            <w:pPr>
              <w:spacing w:after="0"/>
            </w:pPr>
            <w:r/>
            <w:r>
              <w:rPr>
                <w:b w:val="0"/>
                <w:color w:val="263238"/>
                <w:sz w:val="17"/>
              </w:rPr>
              <w:t>Participants may disagree about when a payout is owed</w:t>
            </w:r>
          </w:p>
        </w:tc>
        <w:tc>
          <w:tcPr>
            <w:tcW w:type="dxa" w:w="3408"/>
            <w:shd w:fill="FFFFFF"/>
            <w:vAlign w:val="center"/>
          </w:tcPr>
          <w:p>
            <w:pPr>
              <w:spacing w:after="0"/>
            </w:pPr>
            <w:r/>
            <w:r>
              <w:rPr>
                <w:b w:val="0"/>
                <w:color w:val="263238"/>
                <w:sz w:val="17"/>
              </w:rPr>
              <w:t>Define “closed deal” in writing and record acceptance evidence</w:t>
            </w:r>
          </w:p>
        </w:tc>
      </w:tr>
      <w:tr>
        <w:tc>
          <w:tcPr>
            <w:tcW w:type="dxa" w:w="3408"/>
            <w:shd w:fill="F7F3EC"/>
            <w:vAlign w:val="center"/>
          </w:tcPr>
          <w:p>
            <w:pPr>
              <w:spacing w:after="0"/>
            </w:pPr>
            <w:r/>
            <w:r>
              <w:rPr>
                <w:b w:val="0"/>
                <w:color w:val="263238"/>
                <w:sz w:val="17"/>
              </w:rPr>
              <w:t>False income expectations</w:t>
            </w:r>
          </w:p>
        </w:tc>
        <w:tc>
          <w:tcPr>
            <w:tcW w:type="dxa" w:w="3408"/>
            <w:shd w:fill="F7F3EC"/>
            <w:vAlign w:val="center"/>
          </w:tcPr>
          <w:p>
            <w:pPr>
              <w:spacing w:after="0"/>
            </w:pPr>
            <w:r/>
            <w:r>
              <w:rPr>
                <w:b w:val="0"/>
                <w:color w:val="263238"/>
                <w:sz w:val="17"/>
              </w:rPr>
              <w:t>Illustrative numbers may be understood as promises</w:t>
            </w:r>
          </w:p>
        </w:tc>
        <w:tc>
          <w:tcPr>
            <w:tcW w:type="dxa" w:w="3408"/>
            <w:shd w:fill="F7F3EC"/>
            <w:vAlign w:val="center"/>
          </w:tcPr>
          <w:p>
            <w:pPr>
              <w:spacing w:after="0"/>
            </w:pPr>
            <w:r/>
            <w:r>
              <w:rPr>
                <w:b w:val="0"/>
                <w:color w:val="263238"/>
                <w:sz w:val="17"/>
              </w:rPr>
              <w:t>Label all examples as assumptions and publish actual payout rules</w:t>
            </w:r>
          </w:p>
        </w:tc>
      </w:tr>
      <w:tr>
        <w:tc>
          <w:tcPr>
            <w:tcW w:type="dxa" w:w="3408"/>
            <w:shd w:fill="FFFFFF"/>
            <w:vAlign w:val="center"/>
          </w:tcPr>
          <w:p>
            <w:pPr>
              <w:spacing w:after="0"/>
            </w:pPr>
            <w:r/>
            <w:r>
              <w:rPr>
                <w:b w:val="0"/>
                <w:color w:val="263238"/>
                <w:sz w:val="17"/>
              </w:rPr>
              <w:t>Discriminatory or unsafe listings</w:t>
            </w:r>
          </w:p>
        </w:tc>
        <w:tc>
          <w:tcPr>
            <w:tcW w:type="dxa" w:w="3408"/>
            <w:shd w:fill="FFFFFF"/>
            <w:vAlign w:val="center"/>
          </w:tcPr>
          <w:p>
            <w:pPr>
              <w:spacing w:after="0"/>
            </w:pPr>
            <w:r/>
            <w:r>
              <w:rPr>
                <w:b w:val="0"/>
                <w:color w:val="263238"/>
                <w:sz w:val="17"/>
              </w:rPr>
              <w:t>Housing conditions may harm seekers</w:t>
            </w:r>
          </w:p>
        </w:tc>
        <w:tc>
          <w:tcPr>
            <w:tcW w:type="dxa" w:w="3408"/>
            <w:shd w:fill="FFFFFF"/>
            <w:vAlign w:val="center"/>
          </w:tcPr>
          <w:p>
            <w:pPr>
              <w:spacing w:after="0"/>
            </w:pPr>
            <w:r/>
            <w:r>
              <w:rPr>
                <w:b w:val="0"/>
                <w:color w:val="263238"/>
                <w:sz w:val="17"/>
              </w:rPr>
              <w:t>Moderation policy, reporting, removal, escalation, and local legal review</w:t>
            </w:r>
          </w:p>
        </w:tc>
      </w:tr>
    </w:tbl>
    <w:p>
      <w:pPr>
        <w:spacing w:after="20"/>
      </w:pPr>
    </w:p>
    <w:p>
      <w:pPr>
        <w:pStyle w:val="Heading1"/>
      </w:pPr>
      <w:r>
        <w:t>10. Recommended payout sequence</w:t>
      </w:r>
    </w:p>
    <w:p>
      <w:pPr>
        <w:pStyle w:val="ListNumber"/>
      </w:pPr>
      <w:r>
        <w:t>1. A property is submitted and remains unpublished until the verification checklist is complete.</w:t>
      </w:r>
    </w:p>
    <w:p>
      <w:pPr>
        <w:pStyle w:val="ListNumber"/>
      </w:pPr>
      <w:r>
        <w:t>2. The moderator submits evidence and receives the verification fee according to the approved payout policy.</w:t>
      </w:r>
    </w:p>
    <w:p>
      <w:pPr>
        <w:pStyle w:val="ListNumber"/>
      </w:pPr>
      <w:r>
        <w:t>3. A seeker requests contact; the platform records the lead and agent ownership where applicable.</w:t>
      </w:r>
    </w:p>
    <w:p>
      <w:pPr>
        <w:pStyle w:val="ListNumber"/>
      </w:pPr>
      <w:r>
        <w:t>4. The agent conducts the viewing and negotiation; the system records progress without exposing unnecessary personal data.</w:t>
      </w:r>
    </w:p>
    <w:p>
      <w:pPr>
        <w:pStyle w:val="ListNumber"/>
      </w:pPr>
      <w:r>
        <w:t>5. The parties reach the defined commitment trigger; the platform confirms the transaction evidence.</w:t>
      </w:r>
    </w:p>
    <w:p>
      <w:pPr>
        <w:pStyle w:val="ListNumber"/>
      </w:pPr>
      <w:r>
        <w:t>6. The commission pool is calculated and displayed before payout.</w:t>
      </w:r>
    </w:p>
    <w:p>
      <w:pPr>
        <w:pStyle w:val="ListNumber"/>
      </w:pPr>
      <w:r>
        <w:t>7. The platform releases the agent, moderator, and platform shares through the approved payment process.</w:t>
      </w:r>
    </w:p>
    <w:p>
      <w:pPr>
        <w:pStyle w:val="ListNumber"/>
      </w:pPr>
      <w:r>
        <w:t>8. The seeker and relevant participants can provide feedback, which affects reputation and future visibility.</w:t>
      </w:r>
    </w:p>
    <w:p>
      <w:pPr>
        <w:pStyle w:val="Heading1"/>
      </w:pPr>
      <w:r>
        <w:t>11. Governance and implementation decisions still required</w:t>
      </w:r>
    </w:p>
    <w:p>
      <w:r>
        <w:t>Before implementation, the founder must confirm the exact commission trigger, who legally pays the commission, whether the 50–100% one-month norm applies to the selected segment, the identity and role of the landlord in each deal, and whether the platform can legally coordinate deposits or escrow through a licensed partner. The 70/20/10 allocation should be treated as a proposed starting assumption, not a final contract.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243"/>
            <w:vAlign w:val="center"/>
          </w:tcPr>
          <w:p>
            <w:pPr>
              <w:spacing w:after="0"/>
            </w:pPr>
            <w:r/>
            <w:r>
              <w:rPr>
                <w:b/>
                <w:color w:val="FFFFFF"/>
                <w:sz w:val="18"/>
              </w:rPr>
              <w:t>Decision</w:t>
            </w:r>
          </w:p>
        </w:tc>
        <w:tc>
          <w:tcPr>
            <w:tcW w:type="dxa" w:w="3408"/>
            <w:shd w:fill="153243"/>
            <w:vAlign w:val="center"/>
          </w:tcPr>
          <w:p>
            <w:pPr>
              <w:spacing w:after="0"/>
            </w:pPr>
            <w:r/>
            <w:r>
              <w:rPr>
                <w:b/>
                <w:color w:val="FFFFFF"/>
                <w:sz w:val="18"/>
              </w:rPr>
              <w:t>Recommended starting position</w:t>
            </w:r>
          </w:p>
        </w:tc>
        <w:tc>
          <w:tcPr>
            <w:tcW w:type="dxa" w:w="3408"/>
            <w:shd w:fill="153243"/>
            <w:vAlign w:val="center"/>
          </w:tcPr>
          <w:p>
            <w:pPr>
              <w:spacing w:after="0"/>
            </w:pPr>
            <w:r/>
            <w:r>
              <w:rPr>
                <w:b/>
                <w:color w:val="FFFFFF"/>
                <w:sz w:val="18"/>
              </w:rPr>
              <w:t>Why it should be validated</w:t>
            </w:r>
          </w:p>
        </w:tc>
      </w:tr>
      <w:tr>
        <w:tc>
          <w:tcPr>
            <w:tcW w:type="dxa" w:w="3408"/>
            <w:shd w:fill="F7F3EC"/>
            <w:vAlign w:val="center"/>
          </w:tcPr>
          <w:p>
            <w:pPr>
              <w:spacing w:after="0"/>
            </w:pPr>
            <w:r/>
            <w:r>
              <w:rPr>
                <w:b w:val="0"/>
                <w:color w:val="263238"/>
                <w:sz w:val="17"/>
              </w:rPr>
              <w:t>Listing fee</w:t>
            </w:r>
          </w:p>
        </w:tc>
        <w:tc>
          <w:tcPr>
            <w:tcW w:type="dxa" w:w="3408"/>
            <w:shd w:fill="F7F3EC"/>
            <w:vAlign w:val="center"/>
          </w:tcPr>
          <w:p>
            <w:pPr>
              <w:spacing w:after="0"/>
            </w:pPr>
            <w:r/>
            <w:r>
              <w:rPr>
                <w:b w:val="0"/>
                <w:color w:val="263238"/>
                <w:sz w:val="17"/>
              </w:rPr>
              <w:t>Free</w:t>
            </w:r>
          </w:p>
        </w:tc>
        <w:tc>
          <w:tcPr>
            <w:tcW w:type="dxa" w:w="3408"/>
            <w:shd w:fill="F7F3EC"/>
            <w:vAlign w:val="center"/>
          </w:tcPr>
          <w:p>
            <w:pPr>
              <w:spacing w:after="0"/>
            </w:pPr>
            <w:r/>
            <w:r>
              <w:rPr>
                <w:b w:val="0"/>
                <w:color w:val="263238"/>
                <w:sz w:val="17"/>
              </w:rPr>
              <w:t>Maximizes early supply</w:t>
            </w:r>
          </w:p>
        </w:tc>
      </w:tr>
      <w:tr>
        <w:tc>
          <w:tcPr>
            <w:tcW w:type="dxa" w:w="3408"/>
            <w:shd w:fill="FFFFFF"/>
            <w:vAlign w:val="center"/>
          </w:tcPr>
          <w:p>
            <w:pPr>
              <w:spacing w:after="0"/>
            </w:pPr>
            <w:r/>
            <w:r>
              <w:rPr>
                <w:b w:val="0"/>
                <w:color w:val="263238"/>
                <w:sz w:val="17"/>
              </w:rPr>
              <w:t>Verification fee</w:t>
            </w:r>
          </w:p>
        </w:tc>
        <w:tc>
          <w:tcPr>
            <w:tcW w:type="dxa" w:w="3408"/>
            <w:shd w:fill="FFFFFF"/>
            <w:vAlign w:val="center"/>
          </w:tcPr>
          <w:p>
            <w:pPr>
              <w:spacing w:after="0"/>
            </w:pPr>
            <w:r/>
            <w:r>
              <w:rPr>
                <w:b w:val="0"/>
                <w:color w:val="263238"/>
                <w:sz w:val="17"/>
              </w:rPr>
              <w:t>1,000–2,000 XAF range</w:t>
            </w:r>
          </w:p>
        </w:tc>
        <w:tc>
          <w:tcPr>
            <w:tcW w:type="dxa" w:w="3408"/>
            <w:shd w:fill="FFFFFF"/>
            <w:vAlign w:val="center"/>
          </w:tcPr>
          <w:p>
            <w:pPr>
              <w:spacing w:after="0"/>
            </w:pPr>
            <w:r/>
            <w:r>
              <w:rPr>
                <w:b w:val="0"/>
                <w:color w:val="263238"/>
                <w:sz w:val="17"/>
              </w:rPr>
              <w:t>Must reflect local travel and verification effort</w:t>
            </w:r>
          </w:p>
        </w:tc>
      </w:tr>
      <w:tr>
        <w:tc>
          <w:tcPr>
            <w:tcW w:type="dxa" w:w="3408"/>
            <w:shd w:fill="F7F3EC"/>
            <w:vAlign w:val="center"/>
          </w:tcPr>
          <w:p>
            <w:pPr>
              <w:spacing w:after="0"/>
            </w:pPr>
            <w:r/>
            <w:r>
              <w:rPr>
                <w:b w:val="0"/>
                <w:color w:val="263238"/>
                <w:sz w:val="17"/>
              </w:rPr>
              <w:t>Commission pool</w:t>
            </w:r>
          </w:p>
        </w:tc>
        <w:tc>
          <w:tcPr>
            <w:tcW w:type="dxa" w:w="3408"/>
            <w:shd w:fill="F7F3EC"/>
            <w:vAlign w:val="center"/>
          </w:tcPr>
          <w:p>
            <w:pPr>
              <w:spacing w:after="0"/>
            </w:pPr>
            <w:r/>
            <w:r>
              <w:rPr>
                <w:b w:val="0"/>
                <w:color w:val="263238"/>
                <w:sz w:val="17"/>
              </w:rPr>
              <w:t>Transparent percentage or flat amount</w:t>
            </w:r>
          </w:p>
        </w:tc>
        <w:tc>
          <w:tcPr>
            <w:tcW w:type="dxa" w:w="3408"/>
            <w:shd w:fill="F7F3EC"/>
            <w:vAlign w:val="center"/>
          </w:tcPr>
          <w:p>
            <w:pPr>
              <w:spacing w:after="0"/>
            </w:pPr>
            <w:r/>
            <w:r>
              <w:rPr>
                <w:b w:val="0"/>
                <w:color w:val="263238"/>
                <w:sz w:val="17"/>
              </w:rPr>
              <w:t>Must be acceptable to seekers, owners, and agents</w:t>
            </w:r>
          </w:p>
        </w:tc>
      </w:tr>
      <w:tr>
        <w:tc>
          <w:tcPr>
            <w:tcW w:type="dxa" w:w="3408"/>
            <w:shd w:fill="FFFFFF"/>
            <w:vAlign w:val="center"/>
          </w:tcPr>
          <w:p>
            <w:pPr>
              <w:spacing w:after="0"/>
            </w:pPr>
            <w:r/>
            <w:r>
              <w:rPr>
                <w:b w:val="0"/>
                <w:color w:val="263238"/>
                <w:sz w:val="17"/>
              </w:rPr>
              <w:t>Commission split</w:t>
            </w:r>
          </w:p>
        </w:tc>
        <w:tc>
          <w:tcPr>
            <w:tcW w:type="dxa" w:w="3408"/>
            <w:shd w:fill="FFFFFF"/>
            <w:vAlign w:val="center"/>
          </w:tcPr>
          <w:p>
            <w:pPr>
              <w:spacing w:after="0"/>
            </w:pPr>
            <w:r/>
            <w:r>
              <w:rPr>
                <w:b w:val="0"/>
                <w:color w:val="263238"/>
                <w:sz w:val="17"/>
              </w:rPr>
              <w:t>70% agent / 10% moderator / 20% platform illustrative</w:t>
            </w:r>
          </w:p>
        </w:tc>
        <w:tc>
          <w:tcPr>
            <w:tcW w:type="dxa" w:w="3408"/>
            <w:shd w:fill="FFFFFF"/>
            <w:vAlign w:val="center"/>
          </w:tcPr>
          <w:p>
            <w:pPr>
              <w:spacing w:after="0"/>
            </w:pPr>
            <w:r/>
            <w:r>
              <w:rPr>
                <w:b w:val="0"/>
                <w:color w:val="263238"/>
                <w:sz w:val="17"/>
              </w:rPr>
              <w:t>Must cover support, payment, disputes, and compliance</w:t>
            </w:r>
          </w:p>
        </w:tc>
      </w:tr>
      <w:tr>
        <w:tc>
          <w:tcPr>
            <w:tcW w:type="dxa" w:w="3408"/>
            <w:shd w:fill="F7F3EC"/>
            <w:vAlign w:val="center"/>
          </w:tcPr>
          <w:p>
            <w:pPr>
              <w:spacing w:after="0"/>
            </w:pPr>
            <w:r/>
            <w:r>
              <w:rPr>
                <w:b w:val="0"/>
                <w:color w:val="263238"/>
                <w:sz w:val="17"/>
              </w:rPr>
              <w:t>Escrow</w:t>
            </w:r>
          </w:p>
        </w:tc>
        <w:tc>
          <w:tcPr>
            <w:tcW w:type="dxa" w:w="3408"/>
            <w:shd w:fill="F7F3EC"/>
            <w:vAlign w:val="center"/>
          </w:tcPr>
          <w:p>
            <w:pPr>
              <w:spacing w:after="0"/>
            </w:pPr>
            <w:r/>
            <w:r>
              <w:rPr>
                <w:b w:val="0"/>
                <w:color w:val="263238"/>
                <w:sz w:val="17"/>
              </w:rPr>
              <w:t>Use licensed provider or defer</w:t>
            </w:r>
          </w:p>
        </w:tc>
        <w:tc>
          <w:tcPr>
            <w:tcW w:type="dxa" w:w="3408"/>
            <w:shd w:fill="F7F3EC"/>
            <w:vAlign w:val="center"/>
          </w:tcPr>
          <w:p>
            <w:pPr>
              <w:spacing w:after="0"/>
            </w:pPr>
            <w:r/>
            <w:r>
              <w:rPr>
                <w:b w:val="0"/>
                <w:color w:val="263238"/>
                <w:sz w:val="17"/>
              </w:rPr>
              <w:t>Requires legal, consumer-protection, and reconciliation controls</w:t>
            </w:r>
          </w:p>
        </w:tc>
      </w:tr>
    </w:tbl>
    <w:p>
      <w:pPr>
        <w:spacing w:after="20"/>
      </w:pPr>
    </w:p>
    <w:p>
      <w:pPr>
        <w:pStyle w:val="Heading1"/>
      </w:pPr>
      <w:r>
        <w:t>12. Conclusion</w:t>
      </w:r>
    </w:p>
    <w:p>
      <w:r>
        <w:t>The business model works only if every participant can identify a clear exchange of value. Seekers receive safer discovery and payment protection. Owners receive qualified demand. Agents receive tracked opportunities and protected commissions. Moderators receive immediate pay for real verification work and an incentive to preserve quality. Payment providers receive processing volume. The platform earns by coordinating the trusted transaction layer and only later by selling optional visibility or software tools.</w:t>
      </w:r>
    </w:p>
    <w:p>
      <w:r>
        <w:t>The strategic principle is therefore: **build the trust and settlement layer, not just the listing page**. Revenue sharing should be transparent before the first deal, every payout should have a recorded trigger, and every earning estimate should be presented as an assumption until validated through local operations.</w:t>
      </w:r>
    </w:p>
    <w:p>
      <w:pPr>
        <w:pStyle w:val="Heading1"/>
      </w:pPr>
      <w:r>
        <w:t>Appendix A — Source assumptions</w:t>
      </w:r>
    </w:p>
    <w:p>
      <w:r>
        <w:t>This document is based on the supplied content. The commission split, verification fee, earnings examples, and scale examples are illustrative assumptions from that content and should be validated through local interviews, pilot transactions, payment-provider terms, and professional legal/accounting review. No external market statistic has been presented as a verified fact in this document.</w:t>
      </w:r>
    </w:p>
    <w:sectPr w:rsidR="00FC693F" w:rsidRPr="0006063C" w:rsidSect="00034616">
      <w:foot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47A"/>
        <w:sz w:val="16"/>
      </w:rPr>
      <w:t>Affordable Housing Cameroon — Business Concept Plan | Illustrative model for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324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32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