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34"/>
        </w:rPr>
        <w:t>Paso 2 – Frameworks de Gobernanza y Soporte</w:t>
      </w:r>
    </w:p>
    <w:p>
      <w:pPr>
        <w:spacing w:after="280"/>
        <w:jc w:val="center"/>
      </w:pPr>
      <w:r>
        <w:t>Autores: Daniel Ignasio Fuentes Estrada, Tomas Alberto Arias Zabala y Bryan Esteban Velilla Perez</w:t>
      </w:r>
    </w:p>
    <w:p>
      <w:pPr>
        <w:spacing w:before="280" w:after="120"/>
      </w:pPr>
      <w:r>
        <w:rPr>
          <w:b/>
          <w:color w:val="1F3864"/>
          <w:sz w:val="26"/>
        </w:rPr>
        <w:t>Descripción</w:t>
      </w:r>
    </w:p>
    <w:p>
      <w:pPr>
        <w:spacing w:after="160" w:line="276" w:lineRule="auto"/>
        <w:jc w:val="both"/>
      </w:pPr>
      <w:r>
        <w:t>En este paso se identifican los mecanismos de gobierno y los procesos que apoyan la Arquitectura Empresarial de H&amp;S Tecnología y Marketing S.A.S., tomando como base el Taller #1 y la documentación técnica de PROTO-SHA. Como la empresa está en una etapa pequeña y cuenta con tres fundadores, los marcos se aplican de forma ligera: se toma de cada uno lo esencial para ordenar la operación, sin exigir procesos que la empresa todavía no necesita.</w:t>
      </w:r>
    </w:p>
    <w:p>
      <w:pPr>
        <w:spacing w:before="280" w:after="120"/>
      </w:pPr>
      <w:r>
        <w:rPr>
          <w:b/>
          <w:color w:val="1F3864"/>
          <w:sz w:val="26"/>
        </w:rPr>
        <w:t>Frameworks Existentes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1984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368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Plan estratégico del Taller #1 (seguimiento tipo OKR)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Dirección / negocio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La estrategia de penetración de mercado y los tres objetivos estratégicos del Taller 1 (vincular 25 micronegocios, reducir el tiempo de respuesta en 50 %, consolidar alianzas) se manejan como metas trimestrales para medir el avance.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Gestión ágil de desarrollo (Kanban ligero)</w:t>
            </w:r>
          </w:p>
        </w:tc>
        <w:tc>
          <w:tcPr>
            <w:tcW w:type="dxa" w:w="1984"/>
            <w:shd w:val="clear" w:color="auto" w:fill="F2F5FA"/>
          </w:tcPr>
          <w:p>
            <w:r/>
            <w:r>
              <w:rPr>
                <w:sz w:val="18"/>
              </w:rPr>
              <w:t>Tecnología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Organiza el desarrollo y los ajustes del agente en tareas cortas y visibles, sin la carga de un proceso formal de Scrum.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Gestión de seguridad de la información (ISO/IEC 27001 como referencia)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Tecnología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Guía de buenas prácticas para proteger los datos de comerciantes y clientes finales que pasan por el agente.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Programa de protección de datos personales (Ley 1581 de 2012)</w:t>
            </w:r>
          </w:p>
        </w:tc>
        <w:tc>
          <w:tcPr>
            <w:tcW w:type="dxa" w:w="1984"/>
            <w:shd w:val="clear" w:color="auto" w:fill="F2F5FA"/>
          </w:tcPr>
          <w:p>
            <w:r/>
            <w:r>
              <w:rPr>
                <w:sz w:val="18"/>
              </w:rPr>
              <w:t>Administración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Define la política de tratamiento de datos, la autorización de comerciantes y clientes, y la atención de consultas o reclamos.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Marco financiero y contable básico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Administración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Presupuesto, facturación y obligaciones tributarias ante la DIAN, además del control de los ingresos por suscripción mensual.</w:t>
            </w:r>
          </w:p>
        </w:tc>
      </w:tr>
      <w:tr>
        <w:tc>
          <w:tcPr>
            <w:tcW w:type="dxa" w:w="3402"/>
            <w:shd w:val="clear" w:color="auto" w:fill="F2F5FA"/>
          </w:tcPr>
          <w:p>
            <w:r/>
            <w:r>
              <w:rPr>
                <w:sz w:val="18"/>
              </w:rPr>
              <w:t>Política de uso aceptable de la API de WhatsApp Business (Meta)</w:t>
            </w:r>
          </w:p>
        </w:tc>
        <w:tc>
          <w:tcPr>
            <w:tcW w:type="dxa" w:w="1984"/>
            <w:shd w:val="clear" w:color="auto" w:fill="F2F5FA"/>
          </w:tcPr>
          <w:p>
            <w:r/>
            <w:r>
              <w:rPr>
                <w:sz w:val="18"/>
              </w:rPr>
              <w:t>Tecnología / Comercial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Reglas de Meta sobre el tipo de mensajes, tiempos de respuesta y uso comercial del canal, que cada implementación del agente debe cumplir.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864"/>
          <w:sz w:val="26"/>
        </w:rPr>
        <w:t>Procesos Relacionados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2268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Área Responsable</w:t>
            </w:r>
          </w:p>
        </w:tc>
        <w:tc>
          <w:tcPr>
            <w:tcW w:type="dxa" w:w="3685"/>
            <w:shd w:val="clear" w:color="auto" w:fill="2E5395"/>
          </w:tcPr>
          <w:p>
            <w:r/>
            <w:r>
              <w:rPr>
                <w:b/>
                <w:color w:val="FFFFFF"/>
                <w:sz w:val="19"/>
              </w:rPr>
              <w:t>Relación con EA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Planeación estratégica y seguimiento de objetivos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Dirección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La arquitectura arranca de la estrategia del Taller 1; sus tres objetivos se revisan en cada ciclo de trabajo.</w:t>
            </w:r>
          </w:p>
        </w:tc>
      </w:tr>
      <w:tr>
        <w:tc>
          <w:tcPr>
            <w:tcW w:type="dxa" w:w="3118"/>
            <w:shd w:val="clear" w:color="auto" w:fill="F2F5FA"/>
          </w:tcPr>
          <w:p>
            <w:r/>
            <w:r>
              <w:rPr>
                <w:sz w:val="18"/>
              </w:rPr>
              <w:t>Desarrollo y evolución del agente de IA</w:t>
            </w:r>
          </w:p>
        </w:tc>
        <w:tc>
          <w:tcPr>
            <w:tcW w:type="dxa" w:w="2268"/>
            <w:shd w:val="clear" w:color="auto" w:fill="F2F5FA"/>
          </w:tcPr>
          <w:p>
            <w:r/>
            <w:r>
              <w:rPr>
                <w:sz w:val="18"/>
              </w:rPr>
              <w:t>Tecnología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Es el proceso que más influye la arquitectura: cada ajuste al agente se revisa contra los principios definidos en el Paso 4.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Implementación y configuración del agente por comerciante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Tecnología / Soporte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La arquitectura define cómo se conectan el agente, WhatsApp y los componentes necesarios para cada negocio nuevo.</w:t>
            </w:r>
          </w:p>
        </w:tc>
      </w:tr>
      <w:tr>
        <w:tc>
          <w:tcPr>
            <w:tcW w:type="dxa" w:w="3118"/>
            <w:shd w:val="clear" w:color="auto" w:fill="F2F5FA"/>
          </w:tcPr>
          <w:p>
            <w:r/>
            <w:r>
              <w:rPr>
                <w:sz w:val="18"/>
              </w:rPr>
              <w:t>Atención y toma de pedidos</w:t>
            </w:r>
          </w:p>
        </w:tc>
        <w:tc>
          <w:tcPr>
            <w:tcW w:type="dxa" w:w="2268"/>
            <w:shd w:val="clear" w:color="auto" w:fill="F2F5FA"/>
          </w:tcPr>
          <w:p>
            <w:r/>
            <w:r>
              <w:rPr>
                <w:sz w:val="18"/>
              </w:rPr>
              <w:t>Comercial / Soporte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La arquitectura organiza el flujo cliente → WhatsApp → agente → pedido → confirmación.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Soporte y mantenimiento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Tecnología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La arquitectura debe permitir ajustes, seguimiento y continuidad del servicio sin afectar a los comerciantes activos.</w:t>
            </w:r>
          </w:p>
        </w:tc>
      </w:tr>
      <w:tr>
        <w:tc>
          <w:tcPr>
            <w:tcW w:type="dxa" w:w="3118"/>
            <w:shd w:val="clear" w:color="auto" w:fill="F2F5FA"/>
          </w:tcPr>
          <w:p>
            <w:r/>
            <w:r>
              <w:rPr>
                <w:sz w:val="18"/>
              </w:rPr>
              <w:t>Gestión comercial y alianzas</w:t>
            </w:r>
          </w:p>
        </w:tc>
        <w:tc>
          <w:tcPr>
            <w:tcW w:type="dxa" w:w="2268"/>
            <w:shd w:val="clear" w:color="auto" w:fill="F2F5FA"/>
          </w:tcPr>
          <w:p>
            <w:r/>
            <w:r>
              <w:rPr>
                <w:sz w:val="18"/>
              </w:rPr>
              <w:t>Comercial</w:t>
            </w:r>
          </w:p>
        </w:tc>
        <w:tc>
          <w:tcPr>
            <w:tcW w:type="dxa" w:w="3685"/>
            <w:shd w:val="clear" w:color="auto" w:fill="F2F5FA"/>
          </w:tcPr>
          <w:p>
            <w:r/>
            <w:r>
              <w:rPr>
                <w:sz w:val="18"/>
              </w:rPr>
              <w:t>De aquí sale la meta de vincular 25 micronegocios en el primer año y las alianzas con la Cámara de Comercio y el Nuevo Mercado.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Gobierno de arquitectura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Equipo fundador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Proceso nuevo que nace con este trabajo: revisar las decisiones importantes de arquitectura y aprobar las excepciones a los principios.</w:t>
            </w:r>
          </w:p>
        </w:tc>
      </w:tr>
      <w:tr>
        <w:tc>
          <w:tcPr>
            <w:tcW w:type="dxa" w:w="3249"/>
          </w:tcPr>
          <w:p>
            <w:r>
              <w:t>Gestión de integraciones externas</w:t>
            </w:r>
          </w:p>
        </w:tc>
        <w:tc>
          <w:tcPr>
            <w:tcW w:type="dxa" w:w="3249"/>
          </w:tcPr>
          <w:p>
            <w:r>
              <w:t>Tecnología</w:t>
            </w:r>
          </w:p>
        </w:tc>
        <w:tc>
          <w:tcPr>
            <w:tcW w:type="dxa" w:w="3249"/>
          </w:tcPr>
          <w:p>
            <w:r>
              <w:t>La arquitectura debe controlar integraciones con Twilio, Gmail API, servicios de IA, n8n y futuros CRM o herramientas BI.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i/>
          <w:color w:val="444444"/>
          <w:sz w:val="19"/>
        </w:rPr>
        <w:t>Nota: en este paso se identifican los marcos de apoyo y los procesos del caso; la selección concreta de herramientas se desarrolla en el Paso 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