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360"/>
        <w:jc w:val="left"/>
      </w:pPr>
      <w:r>
        <w:rPr>
          <w:rFonts w:ascii="Arial" w:hAnsi="Arial"/>
          <w:b/>
          <w:color w:val="000000"/>
          <w:sz w:val="56"/>
        </w:rPr>
        <w:t>Sistema predictivo de duración y severidad de interrupciones eléctricas</w:t>
      </w:r>
    </w:p>
    <w:p>
      <w:pPr>
        <w:spacing w:after="720"/>
      </w:pPr>
      <w:r>
        <w:rPr>
          <w:rFonts w:ascii="Arial" w:hAnsi="Arial"/>
          <w:b w:val="0"/>
          <w:color w:val="2F5597"/>
          <w:sz w:val="32"/>
        </w:rPr>
        <w:t>Proyecto final integrador</w:t>
      </w:r>
    </w:p>
    <w:p>
      <w:pPr>
        <w:spacing w:after="80"/>
      </w:pPr>
      <w:r>
        <w:rPr>
          <w:rFonts w:ascii="Arial" w:hAnsi="Arial"/>
          <w:b/>
          <w:color w:val="000000"/>
          <w:sz w:val="22"/>
        </w:rPr>
        <w:t xml:space="preserve">Autor: </w:t>
      </w:r>
      <w:r>
        <w:rPr>
          <w:rFonts w:ascii="Arial" w:hAnsi="Arial"/>
          <w:b w:val="0"/>
          <w:color w:val="000000"/>
          <w:sz w:val="22"/>
        </w:rPr>
        <w:t>Anthony Ventura</w:t>
      </w:r>
    </w:p>
    <w:p>
      <w:pPr>
        <w:spacing w:after="80"/>
      </w:pPr>
      <w:r>
        <w:rPr>
          <w:rFonts w:ascii="Arial" w:hAnsi="Arial"/>
          <w:b/>
          <w:color w:val="000000"/>
          <w:sz w:val="22"/>
        </w:rPr>
        <w:t xml:space="preserve">Curso: </w:t>
      </w:r>
      <w:r>
        <w:rPr>
          <w:rFonts w:ascii="Arial" w:hAnsi="Arial"/>
          <w:b w:val="0"/>
          <w:color w:val="000000"/>
          <w:sz w:val="22"/>
        </w:rPr>
        <w:t>Python aplicado a la IA y Web Scraping</w:t>
      </w:r>
    </w:p>
    <w:p>
      <w:pPr>
        <w:spacing w:after="80"/>
      </w:pPr>
      <w:r>
        <w:rPr>
          <w:rFonts w:ascii="Arial" w:hAnsi="Arial"/>
          <w:b/>
          <w:color w:val="000000"/>
          <w:sz w:val="22"/>
        </w:rPr>
        <w:t xml:space="preserve">Docente: </w:t>
      </w:r>
      <w:r>
        <w:rPr>
          <w:rFonts w:ascii="Arial" w:hAnsi="Arial"/>
          <w:b w:val="0"/>
          <w:color w:val="000000"/>
          <w:sz w:val="22"/>
        </w:rPr>
        <w:t>Mg. Andres Antonio Campaña Acuña</w:t>
      </w:r>
    </w:p>
    <w:p>
      <w:pPr>
        <w:spacing w:after="80"/>
      </w:pPr>
      <w:r>
        <w:rPr>
          <w:rFonts w:ascii="Arial" w:hAnsi="Arial"/>
          <w:b/>
          <w:color w:val="000000"/>
          <w:sz w:val="22"/>
        </w:rPr>
        <w:t xml:space="preserve">Fecha: </w:t>
      </w:r>
      <w:r>
        <w:rPr>
          <w:rFonts w:ascii="Arial" w:hAnsi="Arial"/>
          <w:b w:val="0"/>
          <w:color w:val="000000"/>
          <w:sz w:val="22"/>
        </w:rPr>
        <w:t>Octubre de 2026</w:t>
      </w:r>
    </w:p>
    <w:p>
      <w:r>
        <w:br w:type="page"/>
      </w:r>
    </w:p>
    <w:p>
      <w:pPr>
        <w:pStyle w:val="Heading1"/>
      </w:pPr>
      <w:r>
        <w:t>Resumen ejecutivo</w:t>
      </w:r>
    </w:p>
    <w:p>
      <w:r>
        <w:t>El proyecto implementa un flujo reproducible para estimar la duración de interrupciones eléctricas y clasificar su severidad mediante información pública de Osinergmin. La solución descarga dos capas del servicio ArcGIS REST, integra interrupciones con puntos de entrega, construye variables disponibles al inicio del evento y compara modelos con una división temporal de entrenamiento y prueba.</w:t>
      </w:r>
    </w:p>
    <w:p>
      <w:r>
        <w:t>La base final contiene 492 interrupciones registradas durante 2019 y 155 puntos de entrega. El modelo Ridge obtuvo un error absoluto medio de 115.0 minutos. El clasificador Random Forest alcanzó una exactitud de 72.7 % y un F1 macro de 0.551. Estos resultados describen un prototipo académico y no una herramienta validada para operación en tiempo real.</w:t>
      </w:r>
    </w:p>
    <w:p>
      <w:pPr>
        <w:pStyle w:val="Heading1"/>
      </w:pPr>
      <w:r>
        <w:t>Problema y alcance</w:t>
      </w:r>
    </w:p>
    <w:p>
      <w:r>
        <w:t>Durante una interrupción, una estimación temprana de su duración puede apoyar el seguimiento del evento y la comunicación de escenarios. La información inicial suele ser incompleta y la reposición depende de condiciones que no aparecen en las fuentes públicas. Por ello, el proyecto evalúa cuánto puede aprenderse únicamente con datos abiertos y mantiene explícitas las limitaciones del resultado.</w:t>
      </w:r>
    </w:p>
    <w:p>
      <w:pPr>
        <w:pStyle w:val="ListBullet"/>
        <w:spacing w:after="60"/>
      </w:pPr>
      <w:r>
        <w:rPr>
          <w:rFonts w:ascii="Arial" w:hAnsi="Arial"/>
          <w:b w:val="0"/>
          <w:color w:val="000000"/>
          <w:sz w:val="21"/>
        </w:rPr>
        <w:t>Predecir la duración en minutos con variables conocidas al inicio del evento.</w:t>
      </w:r>
    </w:p>
    <w:p>
      <w:pPr>
        <w:pStyle w:val="ListBullet"/>
        <w:spacing w:after="60"/>
      </w:pPr>
      <w:r>
        <w:rPr>
          <w:rFonts w:ascii="Arial" w:hAnsi="Arial"/>
          <w:b w:val="0"/>
          <w:color w:val="000000"/>
          <w:sz w:val="21"/>
        </w:rPr>
        <w:t>Clasificar una severidad académica basada en percentiles de duración.</w:t>
      </w:r>
    </w:p>
    <w:p>
      <w:pPr>
        <w:pStyle w:val="ListBullet"/>
        <w:spacing w:after="60"/>
      </w:pPr>
      <w:r>
        <w:rPr>
          <w:rFonts w:ascii="Arial" w:hAnsi="Arial"/>
          <w:b w:val="0"/>
          <w:color w:val="000000"/>
          <w:sz w:val="21"/>
        </w:rPr>
        <w:t>Publicar la inferencia mediante FastAPI y una interfaz en Streamlit.</w:t>
      </w:r>
    </w:p>
    <w:p>
      <w:pPr>
        <w:pStyle w:val="ListBullet"/>
        <w:spacing w:after="60"/>
      </w:pPr>
      <w:r>
        <w:rPr>
          <w:rFonts w:ascii="Arial" w:hAnsi="Arial"/>
          <w:b w:val="0"/>
          <w:color w:val="000000"/>
          <w:sz w:val="21"/>
        </w:rPr>
        <w:t>Automatizar la actualización y el reentrenamiento del modelo.</w:t>
      </w:r>
    </w:p>
    <w:p>
      <w:r>
        <w:br w:type="page"/>
      </w:r>
    </w:p>
    <w:p>
      <w:pPr>
        <w:pStyle w:val="Heading1"/>
      </w:pPr>
      <w:r>
        <w:t>Fuente de datos</w:t>
      </w:r>
    </w:p>
    <w:p>
      <w:r>
        <w:t>La fuente es el servicio Mapa SEIN y calidad de Osinergmin. La capa 2 contiene interrupciones y la capa 0 contiene puntos de entrega. La descarga se realiza mediante consultas paginadas en formato JSON. La versión incluida conserva los archivos crudos para trazabilidad y permite repetir el proceso desde los scripts de la fase 1.</w:t>
      </w:r>
    </w:p>
    <w:tbl>
      <w:tblPr>
        <w:tblW w:type="auto" w:w="0"/>
        <w:jc w:val="center"/>
        <w:tblLayout w:type="fixed"/>
        <w:tblLook w:firstColumn="1" w:firstRow="1" w:lastColumn="0" w:lastRow="0" w:noHBand="0" w:noVBand="1" w:val="04A0"/>
      </w:tblPr>
      <w:tblGrid>
        <w:gridCol w:w="3137"/>
        <w:gridCol w:w="3137"/>
        <w:gridCol w:w="3137"/>
      </w:tblGrid>
      <w:tr>
        <w:tc>
          <w:tcPr>
            <w:tcW w:type="dxa" w:w="19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Componente</w:t>
            </w:r>
          </w:p>
        </w:tc>
        <w:tc>
          <w:tcPr>
            <w:tcW w:type="dxa" w:w="55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Contenido</w:t>
            </w:r>
          </w:p>
        </w:tc>
        <w:tc>
          <w:tcPr>
            <w:tcW w:type="dxa" w:w="1417"/>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Registros</w:t>
            </w:r>
          </w:p>
        </w:tc>
      </w:tr>
      <w:tr>
        <w:tc>
          <w:tcPr>
            <w:tcW w:type="dxa" w:w="19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Interrupciones</w:t>
            </w:r>
          </w:p>
        </w:tc>
        <w:tc>
          <w:tcPr>
            <w:tcW w:type="dxa" w:w="55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Inicio, fin, tipo, causa, cliente, suministrador y observación</w:t>
            </w:r>
          </w:p>
        </w:tc>
        <w:tc>
          <w:tcPr>
            <w:tcW w:type="dxa" w:w="141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492</w:t>
            </w:r>
          </w:p>
        </w:tc>
      </w:tr>
      <w:tr>
        <w:tc>
          <w:tcPr>
            <w:tcW w:type="dxa" w:w="1984"/>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Puntos de entrega</w:t>
            </w:r>
          </w:p>
        </w:tc>
        <w:tc>
          <w:tcPr>
            <w:tcW w:type="dxa" w:w="5556"/>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Subestación, propietario, ubicación y tensión nominal</w:t>
            </w:r>
          </w:p>
        </w:tc>
        <w:tc>
          <w:tcPr>
            <w:tcW w:type="dxa" w:w="1417"/>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155</w:t>
            </w:r>
          </w:p>
        </w:tc>
      </w:tr>
      <w:tr>
        <w:tc>
          <w:tcPr>
            <w:tcW w:type="dxa" w:w="19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Base integrada</w:t>
            </w:r>
          </w:p>
        </w:tc>
        <w:tc>
          <w:tcPr>
            <w:tcW w:type="dxa" w:w="55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Eventos con duración y variables predictoras</w:t>
            </w:r>
          </w:p>
        </w:tc>
        <w:tc>
          <w:tcPr>
            <w:tcW w:type="dxa" w:w="141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492</w:t>
            </w:r>
          </w:p>
        </w:tc>
      </w:tr>
    </w:tbl>
    <w:p>
      <w:pPr>
        <w:spacing w:after="0"/>
      </w:pPr>
    </w:p>
    <w:p>
      <w:pPr>
        <w:pStyle w:val="Heading1"/>
      </w:pPr>
      <w:r>
        <w:t>Preparación de datos</w:t>
      </w:r>
    </w:p>
    <w:p>
      <w:r>
        <w:t>El procesamiento elimina identificadores duplicados, convierte las marcas de tiempo a UTC y calcula la duración como la diferencia entre el fin y el inicio. Se conservan eventos con duración entre 1 minuto y 7 días. La unión con puntos de entrega agrega nivel de tensión, tensión nominal, propietario y coordenadas.</w:t>
      </w:r>
    </w:p>
    <w:tbl>
      <w:tblPr>
        <w:tblW w:type="auto" w:w="0"/>
        <w:jc w:val="center"/>
        <w:tblLayout w:type="fixed"/>
        <w:tblLook w:firstColumn="1" w:firstRow="1" w:lastColumn="0" w:lastRow="0" w:noHBand="0" w:noVBand="1" w:val="04A0"/>
      </w:tblPr>
      <w:tblGrid>
        <w:gridCol w:w="4706"/>
        <w:gridCol w:w="4706"/>
      </w:tblGrid>
      <w:tr>
        <w:tc>
          <w:tcPr>
            <w:tcW w:type="dxa" w:w="22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Grupo</w:t>
            </w:r>
          </w:p>
        </w:tc>
        <w:tc>
          <w:tcPr>
            <w:tcW w:type="dxa" w:w="669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Variables</w:t>
            </w:r>
          </w:p>
        </w:tc>
      </w:tr>
      <w:tr>
        <w:tc>
          <w:tcPr>
            <w:tcW w:type="dxa" w:w="22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Evento</w:t>
            </w:r>
          </w:p>
        </w:tc>
        <w:tc>
          <w:tcPr>
            <w:tcW w:type="dxa" w:w="669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Tipo, causa, cliente, suministrador y propietario</w:t>
            </w:r>
          </w:p>
        </w:tc>
      </w:tr>
      <w:tr>
        <w:tc>
          <w:tcPr>
            <w:tcW w:type="dxa" w:w="2268"/>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Infraestructura</w:t>
            </w:r>
          </w:p>
        </w:tc>
        <w:tc>
          <w:tcPr>
            <w:tcW w:type="dxa" w:w="6690"/>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Punto de entrega, subestación, nivel y tensión nominal</w:t>
            </w:r>
          </w:p>
        </w:tc>
      </w:tr>
      <w:tr>
        <w:tc>
          <w:tcPr>
            <w:tcW w:type="dxa" w:w="22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Tiempo</w:t>
            </w:r>
          </w:p>
        </w:tc>
        <w:tc>
          <w:tcPr>
            <w:tcW w:type="dxa" w:w="669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Hora, día de semana, mes, fin de semana y horario nocturno</w:t>
            </w:r>
          </w:p>
        </w:tc>
      </w:tr>
      <w:tr>
        <w:tc>
          <w:tcPr>
            <w:tcW w:type="dxa" w:w="2268"/>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Derivadas</w:t>
            </w:r>
          </w:p>
        </w:tc>
        <w:tc>
          <w:tcPr>
            <w:tcW w:type="dxa" w:w="6690"/>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Cantidad de suministradores y severidad para análisis</w:t>
            </w:r>
          </w:p>
        </w:tc>
      </w:tr>
    </w:tbl>
    <w:p>
      <w:pPr>
        <w:spacing w:after="0"/>
      </w:pPr>
    </w:p>
    <w:p>
      <w:pPr>
        <w:pStyle w:val="Heading1"/>
      </w:pPr>
      <w:r>
        <w:t>Análisis descriptivo</w:t>
      </w:r>
    </w:p>
    <w:p>
      <w:r>
        <w:t>La duración presenta una distribución asimétrica. La mediana es 49.2 minutos, mientras que la media alcanza 165.8 minutos. El valor máximo es 1240.6 minutos. Esta diferencia confirma que algunos eventos largos elevan la media y justifican comparar modelos sensibles de forma distinta a valores extremos.</w:t>
      </w:r>
    </w:p>
    <w:p>
      <w:pPr>
        <w:keepNext/>
        <w:jc w:val="center"/>
      </w:pPr>
      <w:r>
        <w:drawing>
          <wp:inline xmlns:a="http://schemas.openxmlformats.org/drawingml/2006/main" xmlns:pic="http://schemas.openxmlformats.org/drawingml/2006/picture">
            <wp:extent cx="5715000" cy="3175000"/>
            <wp:docPr id="1" name="Picture 1"/>
            <wp:cNvGraphicFramePr>
              <a:graphicFrameLocks noChangeAspect="1"/>
            </wp:cNvGraphicFramePr>
            <a:graphic>
              <a:graphicData uri="http://schemas.openxmlformats.org/drawingml/2006/picture">
                <pic:pic>
                  <pic:nvPicPr>
                    <pic:cNvPr id="0" name="01_distribucion_duracion.png"/>
                    <pic:cNvPicPr/>
                  </pic:nvPicPr>
                  <pic:blipFill>
                    <a:blip r:embed="rId10"/>
                    <a:stretch>
                      <a:fillRect/>
                    </a:stretch>
                  </pic:blipFill>
                  <pic:spPr>
                    <a:xfrm>
                      <a:off x="0" y="0"/>
                      <a:ext cx="5715000" cy="3175000"/>
                    </a:xfrm>
                    <a:prstGeom prst="rect"/>
                  </pic:spPr>
                </pic:pic>
              </a:graphicData>
            </a:graphic>
          </wp:inline>
        </w:drawing>
      </w:r>
    </w:p>
    <w:p>
      <w:pPr>
        <w:spacing w:before="60" w:after="160"/>
        <w:jc w:val="center"/>
      </w:pPr>
      <w:r>
        <w:rPr>
          <w:rFonts w:ascii="Arial" w:hAnsi="Arial"/>
          <w:b w:val="0"/>
          <w:color w:val="555555"/>
          <w:sz w:val="17"/>
        </w:rPr>
        <w:t>Figura 1  Distribución de la duración de las interrupciones</w:t>
      </w:r>
    </w:p>
    <w:p>
      <w:pPr>
        <w:pStyle w:val="Heading1"/>
      </w:pPr>
      <w:r>
        <w:t>Diseño de modelado</w:t>
      </w:r>
    </w:p>
    <w:p>
      <w:r>
        <w:t>Los eventos se ordenan cronológicamente. El 80 % inicial forma el conjunto de entrenamiento y el 20 % final forma la prueba. Esta separación evita que el modelo use eventos futuros para explicar registros anteriores. El entrenamiento incluye 393 registros y la prueba incluye 99.</w:t>
      </w:r>
    </w:p>
    <w:tbl>
      <w:tblPr>
        <w:tblW w:type="auto" w:w="0"/>
        <w:jc w:val="center"/>
        <w:tblLayout w:type="fixed"/>
        <w:tblLook w:firstColumn="1" w:firstRow="1" w:lastColumn="0" w:lastRow="0" w:noHBand="0" w:noVBand="1" w:val="04A0"/>
      </w:tblPr>
      <w:tblGrid>
        <w:gridCol w:w="3137"/>
        <w:gridCol w:w="3137"/>
        <w:gridCol w:w="3137"/>
      </w:tblGrid>
      <w:tr>
        <w:tc>
          <w:tcPr>
            <w:tcW w:type="dxa" w:w="181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Tarea</w:t>
            </w:r>
          </w:p>
        </w:tc>
        <w:tc>
          <w:tcPr>
            <w:tcW w:type="dxa" w:w="4819"/>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Modelos comparados</w:t>
            </w:r>
          </w:p>
        </w:tc>
        <w:tc>
          <w:tcPr>
            <w:tcW w:type="dxa" w:w="232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Criterio de selección</w:t>
            </w:r>
          </w:p>
        </w:tc>
      </w:tr>
      <w:tr>
        <w:tc>
          <w:tcPr>
            <w:tcW w:type="dxa" w:w="181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Duración</w:t>
            </w:r>
          </w:p>
        </w:tc>
        <w:tc>
          <w:tcPr>
            <w:tcW w:type="dxa" w:w="4819"/>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Mediana, Ridge, Ridge log, Random Forest y Random Forest log</w:t>
            </w:r>
          </w:p>
        </w:tc>
        <w:tc>
          <w:tcPr>
            <w:tcW w:type="dxa" w:w="23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Menor MAE</w:t>
            </w:r>
          </w:p>
        </w:tc>
      </w:tr>
      <w:tr>
        <w:tc>
          <w:tcPr>
            <w:tcW w:type="dxa" w:w="1814"/>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Severidad</w:t>
            </w:r>
          </w:p>
        </w:tc>
        <w:tc>
          <w:tcPr>
            <w:tcW w:type="dxa" w:w="4819"/>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Clase mayoritaria y Random Forest</w:t>
            </w:r>
          </w:p>
        </w:tc>
        <w:tc>
          <w:tcPr>
            <w:tcW w:type="dxa" w:w="2324"/>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Mayor F1 macro</w:t>
            </w:r>
          </w:p>
        </w:tc>
      </w:tr>
    </w:tbl>
    <w:p>
      <w:pPr>
        <w:spacing w:after="0"/>
      </w:pPr>
    </w:p>
    <w:p>
      <w:pPr>
        <w:pStyle w:val="Heading1"/>
      </w:pPr>
      <w:r>
        <w:t>Resultados de duración</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3685"/>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Modelo</w:t>
            </w:r>
          </w:p>
        </w:tc>
        <w:tc>
          <w:tcPr>
            <w:tcW w:type="dxa" w:w="1757"/>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MAE min</w:t>
            </w:r>
          </w:p>
        </w:tc>
        <w:tc>
          <w:tcPr>
            <w:tcW w:type="dxa" w:w="1757"/>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RMSE min</w:t>
            </w:r>
          </w:p>
        </w:tc>
        <w:tc>
          <w:tcPr>
            <w:tcW w:type="dxa" w:w="1587"/>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R²</w:t>
            </w:r>
          </w:p>
        </w:tc>
      </w:tr>
      <w:tr>
        <w:tc>
          <w:tcPr>
            <w:tcW w:type="dxa" w:w="3685"/>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Ridge</w:t>
            </w:r>
          </w:p>
        </w:tc>
        <w:tc>
          <w:tcPr>
            <w:tcW w:type="dxa" w:w="175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115.0</w:t>
            </w:r>
          </w:p>
        </w:tc>
        <w:tc>
          <w:tcPr>
            <w:tcW w:type="dxa" w:w="175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238.5</w:t>
            </w:r>
          </w:p>
        </w:tc>
        <w:tc>
          <w:tcPr>
            <w:tcW w:type="dxa" w:w="158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0.262</w:t>
            </w:r>
          </w:p>
        </w:tc>
      </w:tr>
      <w:tr>
        <w:tc>
          <w:tcPr>
            <w:tcW w:type="dxa" w:w="3685"/>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Random Forest log</w:t>
            </w:r>
          </w:p>
        </w:tc>
        <w:tc>
          <w:tcPr>
            <w:tcW w:type="dxa" w:w="1757"/>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121.3</w:t>
            </w:r>
          </w:p>
        </w:tc>
        <w:tc>
          <w:tcPr>
            <w:tcW w:type="dxa" w:w="1757"/>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255.2</w:t>
            </w:r>
          </w:p>
        </w:tc>
        <w:tc>
          <w:tcPr>
            <w:tcW w:type="dxa" w:w="1587"/>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0.155</w:t>
            </w:r>
          </w:p>
        </w:tc>
      </w:tr>
      <w:tr>
        <w:tc>
          <w:tcPr>
            <w:tcW w:type="dxa" w:w="3685"/>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Random Forest</w:t>
            </w:r>
          </w:p>
        </w:tc>
        <w:tc>
          <w:tcPr>
            <w:tcW w:type="dxa" w:w="175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125.9</w:t>
            </w:r>
          </w:p>
        </w:tc>
        <w:tc>
          <w:tcPr>
            <w:tcW w:type="dxa" w:w="175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232.7</w:t>
            </w:r>
          </w:p>
        </w:tc>
        <w:tc>
          <w:tcPr>
            <w:tcW w:type="dxa" w:w="158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0.297</w:t>
            </w:r>
          </w:p>
        </w:tc>
      </w:tr>
      <w:tr>
        <w:tc>
          <w:tcPr>
            <w:tcW w:type="dxa" w:w="3685"/>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Ridge log</w:t>
            </w:r>
          </w:p>
        </w:tc>
        <w:tc>
          <w:tcPr>
            <w:tcW w:type="dxa" w:w="1757"/>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136.5</w:t>
            </w:r>
          </w:p>
        </w:tc>
        <w:tc>
          <w:tcPr>
            <w:tcW w:type="dxa" w:w="1757"/>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270.3</w:t>
            </w:r>
          </w:p>
        </w:tc>
        <w:tc>
          <w:tcPr>
            <w:tcW w:type="dxa" w:w="1587"/>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0.051</w:t>
            </w:r>
          </w:p>
        </w:tc>
      </w:tr>
      <w:tr>
        <w:tc>
          <w:tcPr>
            <w:tcW w:type="dxa" w:w="3685"/>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Baseline mediana</w:t>
            </w:r>
          </w:p>
        </w:tc>
        <w:tc>
          <w:tcPr>
            <w:tcW w:type="dxa" w:w="175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176.8</w:t>
            </w:r>
          </w:p>
        </w:tc>
        <w:tc>
          <w:tcPr>
            <w:tcW w:type="dxa" w:w="175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310.4</w:t>
            </w:r>
          </w:p>
        </w:tc>
        <w:tc>
          <w:tcPr>
            <w:tcW w:type="dxa" w:w="1587"/>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-0.251</w:t>
            </w:r>
          </w:p>
        </w:tc>
      </w:tr>
    </w:tbl>
    <w:p>
      <w:pPr>
        <w:spacing w:after="0"/>
      </w:pPr>
    </w:p>
    <w:p>
      <w:r>
        <w:t>Ridge obtuvo el menor MAE y se seleccionó para producción. Random Forest presentó un RMSE menor y un R² mayor, pero cometió un error absoluto promedio más alto. La elección prioriza una interpretación directa del error medio en minutos.</w:t>
      </w:r>
    </w:p>
    <w:p>
      <w:pPr>
        <w:keepNext/>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02_comparacion_modelos.png"/>
                    <pic:cNvPicPr/>
                  </pic:nvPicPr>
                  <pic:blipFill>
                    <a:blip r:embed="rId11"/>
                    <a:stretch>
                      <a:fillRect/>
                    </a:stretch>
                  </pic:blipFill>
                  <pic:spPr>
                    <a:xfrm>
                      <a:off x="0" y="0"/>
                      <a:ext cx="5669280" cy="3149600"/>
                    </a:xfrm>
                    <a:prstGeom prst="rect"/>
                  </pic:spPr>
                </pic:pic>
              </a:graphicData>
            </a:graphic>
          </wp:inline>
        </w:drawing>
      </w:r>
    </w:p>
    <w:p>
      <w:pPr>
        <w:spacing w:before="60" w:after="160"/>
        <w:jc w:val="center"/>
      </w:pPr>
      <w:r>
        <w:rPr>
          <w:rFonts w:ascii="Arial" w:hAnsi="Arial"/>
          <w:b w:val="0"/>
          <w:color w:val="555555"/>
          <w:sz w:val="17"/>
        </w:rPr>
        <w:t>Figura 2  Comparación del error absoluto medio</w:t>
      </w:r>
    </w:p>
    <w:p>
      <w:pPr>
        <w:keepNext/>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03_real_vs_predicho.png"/>
                    <pic:cNvPicPr/>
                  </pic:nvPicPr>
                  <pic:blipFill>
                    <a:blip r:embed="rId12"/>
                    <a:stretch>
                      <a:fillRect/>
                    </a:stretch>
                  </pic:blipFill>
                  <pic:spPr>
                    <a:xfrm>
                      <a:off x="0" y="0"/>
                      <a:ext cx="5029200" cy="5029200"/>
                    </a:xfrm>
                    <a:prstGeom prst="rect"/>
                  </pic:spPr>
                </pic:pic>
              </a:graphicData>
            </a:graphic>
          </wp:inline>
        </w:drawing>
      </w:r>
    </w:p>
    <w:p>
      <w:pPr>
        <w:spacing w:before="60" w:after="160"/>
        <w:jc w:val="center"/>
      </w:pPr>
      <w:r>
        <w:rPr>
          <w:rFonts w:ascii="Arial" w:hAnsi="Arial"/>
          <w:b w:val="0"/>
          <w:color w:val="555555"/>
          <w:sz w:val="17"/>
        </w:rPr>
        <w:t>Figura 3  Duración real y predicha en la prueba temporal</w:t>
      </w:r>
    </w:p>
    <w:p>
      <w:pPr>
        <w:pStyle w:val="Heading1"/>
      </w:pPr>
      <w:r>
        <w:t>Resultados de severidad</w:t>
      </w:r>
    </w:p>
    <w:p>
      <w:r>
        <w:t>La severidad se define con los percentiles del conjunto de entrenamiento. La categoría baja llega hasta 52 minutos. La categoría media llega hasta 373.7 minutos y la categoría alta agrupa los eventos de mayor duración. Esta definición sirve para el ejercicio académico y no corresponde a una clasificación regulatoria.</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294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Modelo</w:t>
            </w:r>
          </w:p>
        </w:tc>
        <w:tc>
          <w:tcPr>
            <w:tcW w:type="dxa" w:w="181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F1 macro</w:t>
            </w:r>
          </w:p>
        </w:tc>
        <w:tc>
          <w:tcPr>
            <w:tcW w:type="dxa" w:w="181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Exactitud</w:t>
            </w:r>
          </w:p>
        </w:tc>
        <w:tc>
          <w:tcPr>
            <w:tcW w:type="dxa" w:w="243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Exactitud balanceada</w:t>
            </w:r>
          </w:p>
        </w:tc>
      </w:tr>
      <w:tr>
        <w:tc>
          <w:tcPr>
            <w:tcW w:type="dxa" w:w="29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Random Forest</w:t>
            </w:r>
          </w:p>
        </w:tc>
        <w:tc>
          <w:tcPr>
            <w:tcW w:type="dxa" w:w="181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0.551</w:t>
            </w:r>
          </w:p>
        </w:tc>
        <w:tc>
          <w:tcPr>
            <w:tcW w:type="dxa" w:w="181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72.7 %</w:t>
            </w:r>
          </w:p>
        </w:tc>
        <w:tc>
          <w:tcPr>
            <w:tcW w:type="dxa" w:w="243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0.575</w:t>
            </w:r>
          </w:p>
        </w:tc>
      </w:tr>
      <w:tr>
        <w:tc>
          <w:tcPr>
            <w:tcW w:type="dxa" w:w="2948"/>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Baseline mayoría</w:t>
            </w:r>
          </w:p>
        </w:tc>
        <w:tc>
          <w:tcPr>
            <w:tcW w:type="dxa" w:w="1814"/>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0.238</w:t>
            </w:r>
          </w:p>
        </w:tc>
        <w:tc>
          <w:tcPr>
            <w:tcW w:type="dxa" w:w="1814"/>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55.6 %</w:t>
            </w:r>
          </w:p>
        </w:tc>
        <w:tc>
          <w:tcPr>
            <w:tcW w:type="dxa" w:w="2438"/>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0.333</w:t>
            </w:r>
          </w:p>
        </w:tc>
      </w:tr>
    </w:tbl>
    <w:p>
      <w:pPr>
        <w:spacing w:after="0"/>
      </w:pPr>
    </w:p>
    <w:p>
      <w:pPr>
        <w:keepNext/>
        <w:jc w:val="center"/>
      </w:pPr>
      <w:r>
        <w:drawing>
          <wp:inline xmlns:a="http://schemas.openxmlformats.org/drawingml/2006/main" xmlns:pic="http://schemas.openxmlformats.org/drawingml/2006/picture">
            <wp:extent cx="4480560" cy="3733800"/>
            <wp:docPr id="4" name="Picture 4"/>
            <wp:cNvGraphicFramePr>
              <a:graphicFrameLocks noChangeAspect="1"/>
            </wp:cNvGraphicFramePr>
            <a:graphic>
              <a:graphicData uri="http://schemas.openxmlformats.org/drawingml/2006/picture">
                <pic:pic>
                  <pic:nvPicPr>
                    <pic:cNvPr id="0" name="04_matriz_confusion.png"/>
                    <pic:cNvPicPr/>
                  </pic:nvPicPr>
                  <pic:blipFill>
                    <a:blip r:embed="rId13"/>
                    <a:stretch>
                      <a:fillRect/>
                    </a:stretch>
                  </pic:blipFill>
                  <pic:spPr>
                    <a:xfrm>
                      <a:off x="0" y="0"/>
                      <a:ext cx="4480560" cy="3733800"/>
                    </a:xfrm>
                    <a:prstGeom prst="rect"/>
                  </pic:spPr>
                </pic:pic>
              </a:graphicData>
            </a:graphic>
          </wp:inline>
        </w:drawing>
      </w:r>
    </w:p>
    <w:p>
      <w:pPr>
        <w:spacing w:before="60" w:after="160"/>
        <w:jc w:val="center"/>
      </w:pPr>
      <w:r>
        <w:rPr>
          <w:rFonts w:ascii="Arial" w:hAnsi="Arial"/>
          <w:b w:val="0"/>
          <w:color w:val="555555"/>
          <w:sz w:val="17"/>
        </w:rPr>
        <w:t>Figura 4  Matriz de confusión de severidad</w:t>
      </w:r>
    </w:p>
    <w:p>
      <w:pPr>
        <w:pStyle w:val="Heading1"/>
      </w:pPr>
      <w:r>
        <w:t>Interpretación del modelo</w:t>
      </w:r>
    </w:p>
    <w:p>
      <w:r>
        <w:t>La importancia de variables ayuda a revisar qué señales utiliza el modelo. En un conjunto pequeño, estas importancias deben leerse como evidencia descriptiva del ajuste y no como relaciones causales. Las categorías con pocos registros pueden producir resultados inestables.</w:t>
      </w:r>
    </w:p>
    <w:p>
      <w:pPr>
        <w:keepNext/>
        <w:jc w:val="center"/>
      </w:pPr>
      <w:r>
        <w:drawing>
          <wp:inline xmlns:a="http://schemas.openxmlformats.org/drawingml/2006/main" xmlns:pic="http://schemas.openxmlformats.org/drawingml/2006/picture">
            <wp:extent cx="5715000" cy="3810000"/>
            <wp:docPr id="5" name="Picture 5"/>
            <wp:cNvGraphicFramePr>
              <a:graphicFrameLocks noChangeAspect="1"/>
            </wp:cNvGraphicFramePr>
            <a:graphic>
              <a:graphicData uri="http://schemas.openxmlformats.org/drawingml/2006/picture">
                <pic:pic>
                  <pic:nvPicPr>
                    <pic:cNvPr id="0" name="05_importancia_variables.png"/>
                    <pic:cNvPicPr/>
                  </pic:nvPicPr>
                  <pic:blipFill>
                    <a:blip r:embed="rId14"/>
                    <a:stretch>
                      <a:fillRect/>
                    </a:stretch>
                  </pic:blipFill>
                  <pic:spPr>
                    <a:xfrm>
                      <a:off x="0" y="0"/>
                      <a:ext cx="5715000" cy="3810000"/>
                    </a:xfrm>
                    <a:prstGeom prst="rect"/>
                  </pic:spPr>
                </pic:pic>
              </a:graphicData>
            </a:graphic>
          </wp:inline>
        </w:drawing>
      </w:r>
    </w:p>
    <w:p>
      <w:pPr>
        <w:spacing w:before="60" w:after="160"/>
        <w:jc w:val="center"/>
      </w:pPr>
      <w:r>
        <w:rPr>
          <w:rFonts w:ascii="Arial" w:hAnsi="Arial"/>
          <w:b w:val="0"/>
          <w:color w:val="555555"/>
          <w:sz w:val="17"/>
        </w:rPr>
        <w:t>Figura 5  Variables con mayor influencia en el modelo</w:t>
      </w:r>
    </w:p>
    <w:p>
      <w:pPr>
        <w:pStyle w:val="Heading1"/>
      </w:pPr>
      <w:r>
        <w:t>Arquitectura de la solución</w:t>
      </w:r>
    </w:p>
    <w:tbl>
      <w:tblPr>
        <w:tblW w:type="auto" w:w="0"/>
        <w:jc w:val="center"/>
        <w:tblLayout w:type="fixed"/>
        <w:tblLook w:firstColumn="1" w:firstRow="1" w:lastColumn="0" w:lastRow="0" w:noHBand="0" w:noVBand="1" w:val="04A0"/>
      </w:tblPr>
      <w:tblGrid>
        <w:gridCol w:w="3137"/>
        <w:gridCol w:w="3137"/>
        <w:gridCol w:w="3137"/>
      </w:tblGrid>
      <w:tr>
        <w:tc>
          <w:tcPr>
            <w:tcW w:type="dxa" w:w="181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Capa</w:t>
            </w:r>
          </w:p>
        </w:tc>
        <w:tc>
          <w:tcPr>
            <w:tcW w:type="dxa" w:w="408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Implementación</w:t>
            </w:r>
          </w:p>
        </w:tc>
        <w:tc>
          <w:tcPr>
            <w:tcW w:type="dxa" w:w="3061"/>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Salida</w:t>
            </w:r>
          </w:p>
        </w:tc>
      </w:tr>
      <w:tr>
        <w:tc>
          <w:tcPr>
            <w:tcW w:type="dxa" w:w="181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Ingesta</w:t>
            </w:r>
          </w:p>
        </w:tc>
        <w:tc>
          <w:tcPr>
            <w:tcW w:type="dxa" w:w="408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Cliente ArcGIS REST paginado</w:t>
            </w:r>
          </w:p>
        </w:tc>
        <w:tc>
          <w:tcPr>
            <w:tcW w:type="dxa" w:w="306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JSON crudo</w:t>
            </w:r>
          </w:p>
        </w:tc>
      </w:tr>
      <w:tr>
        <w:tc>
          <w:tcPr>
            <w:tcW w:type="dxa" w:w="1814"/>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Procesamiento</w:t>
            </w:r>
          </w:p>
        </w:tc>
        <w:tc>
          <w:tcPr>
            <w:tcW w:type="dxa" w:w="4082"/>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Pandas y reglas de calidad</w:t>
            </w:r>
          </w:p>
        </w:tc>
        <w:tc>
          <w:tcPr>
            <w:tcW w:type="dxa" w:w="3061"/>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CSV procesado</w:t>
            </w:r>
          </w:p>
        </w:tc>
      </w:tr>
      <w:tr>
        <w:tc>
          <w:tcPr>
            <w:tcW w:type="dxa" w:w="181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Modelado</w:t>
            </w:r>
          </w:p>
        </w:tc>
        <w:tc>
          <w:tcPr>
            <w:tcW w:type="dxa" w:w="408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Ridge y Random Forest</w:t>
            </w:r>
          </w:p>
        </w:tc>
        <w:tc>
          <w:tcPr>
            <w:tcW w:type="dxa" w:w="306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Modelos PKL y métricas</w:t>
            </w:r>
          </w:p>
        </w:tc>
      </w:tr>
      <w:tr>
        <w:tc>
          <w:tcPr>
            <w:tcW w:type="dxa" w:w="1814"/>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Servicio</w:t>
            </w:r>
          </w:p>
        </w:tc>
        <w:tc>
          <w:tcPr>
            <w:tcW w:type="dxa" w:w="4082"/>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FastAPI</w:t>
            </w:r>
          </w:p>
        </w:tc>
        <w:tc>
          <w:tcPr>
            <w:tcW w:type="dxa" w:w="3061"/>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Endpoints de salud, métricas y predicción</w:t>
            </w:r>
          </w:p>
        </w:tc>
      </w:tr>
      <w:tr>
        <w:tc>
          <w:tcPr>
            <w:tcW w:type="dxa" w:w="181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Interfaz</w:t>
            </w:r>
          </w:p>
        </w:tc>
        <w:tc>
          <w:tcPr>
            <w:tcW w:type="dxa" w:w="408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Streamlit</w:t>
            </w:r>
          </w:p>
        </w:tc>
        <w:tc>
          <w:tcPr>
            <w:tcW w:type="dxa" w:w="306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Formulario, análisis y visualización</w:t>
            </w:r>
          </w:p>
        </w:tc>
      </w:tr>
      <w:tr>
        <w:tc>
          <w:tcPr>
            <w:tcW w:type="dxa" w:w="1814"/>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Despliegue</w:t>
            </w:r>
          </w:p>
        </w:tc>
        <w:tc>
          <w:tcPr>
            <w:tcW w:type="dxa" w:w="4082"/>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Docker Compose</w:t>
            </w:r>
          </w:p>
        </w:tc>
        <w:tc>
          <w:tcPr>
            <w:tcW w:type="dxa" w:w="3061"/>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API y dashboard en contenedores</w:t>
            </w:r>
          </w:p>
        </w:tc>
      </w:tr>
    </w:tbl>
    <w:p>
      <w:pPr>
        <w:spacing w:after="0"/>
      </w:pPr>
    </w:p>
    <w:p>
      <w:r>
        <w:t>El endpoint POST /predict recibe las características iniciales y devuelve la duración estimada, la severidad, sus probabilidades y la versión del modelo. La fase 3 vuelve a consultar la fuente, reconstruye la base, reentrena y registra la nueva versión junto con el MAE.</w:t>
      </w:r>
    </w:p>
    <w:p>
      <w:pPr>
        <w:pStyle w:val="Heading1"/>
      </w:pPr>
      <w:r>
        <w:t>Validación funcional</w:t>
      </w:r>
    </w:p>
    <w:p>
      <w:pPr>
        <w:pStyle w:val="ListBullet"/>
        <w:spacing w:after="60"/>
      </w:pPr>
      <w:r>
        <w:rPr>
          <w:rFonts w:ascii="Arial" w:hAnsi="Arial"/>
          <w:b w:val="0"/>
          <w:color w:val="000000"/>
          <w:sz w:val="21"/>
        </w:rPr>
        <w:t>El dashboard respondió con estado HTTP 200 en el puerto 8501.</w:t>
      </w:r>
    </w:p>
    <w:p>
      <w:pPr>
        <w:pStyle w:val="ListBullet"/>
        <w:spacing w:after="60"/>
      </w:pPr>
      <w:r>
        <w:rPr>
          <w:rFonts w:ascii="Arial" w:hAnsi="Arial"/>
          <w:b w:val="0"/>
          <w:color w:val="000000"/>
          <w:sz w:val="21"/>
        </w:rPr>
        <w:t>La API respondió con estado saludable y confirmó la disponibilidad de los modelos.</w:t>
      </w:r>
    </w:p>
    <w:p>
      <w:pPr>
        <w:pStyle w:val="ListBullet"/>
        <w:spacing w:after="60"/>
      </w:pPr>
      <w:r>
        <w:rPr>
          <w:rFonts w:ascii="Arial" w:hAnsi="Arial"/>
          <w:b w:val="0"/>
          <w:color w:val="000000"/>
          <w:sz w:val="21"/>
        </w:rPr>
        <w:t>El endpoint de predicción devolvió duración, severidad y probabilidades.</w:t>
      </w:r>
    </w:p>
    <w:p>
      <w:pPr>
        <w:pStyle w:val="ListBullet"/>
        <w:spacing w:after="60"/>
      </w:pPr>
      <w:r>
        <w:rPr>
          <w:rFonts w:ascii="Arial" w:hAnsi="Arial"/>
          <w:b w:val="0"/>
          <w:color w:val="000000"/>
          <w:sz w:val="21"/>
        </w:rPr>
        <w:t>Los scripts compilaron y la prueba de construcción de variables terminó correctamente.</w:t>
      </w:r>
    </w:p>
    <w:p>
      <w:pPr>
        <w:pStyle w:val="Heading1"/>
      </w:pPr>
      <w:r>
        <w:t>Limitaciones</w:t>
      </w:r>
    </w:p>
    <w:p>
      <w:pPr>
        <w:pStyle w:val="ListBullet"/>
        <w:spacing w:after="60"/>
      </w:pPr>
      <w:r>
        <w:rPr>
          <w:rFonts w:ascii="Arial" w:hAnsi="Arial"/>
          <w:b w:val="0"/>
          <w:color w:val="000000"/>
          <w:sz w:val="21"/>
        </w:rPr>
        <w:t>La fuente consultada contiene 492 interrupciones de 2019, una muestra limitada para generalización.</w:t>
      </w:r>
    </w:p>
    <w:p>
      <w:pPr>
        <w:pStyle w:val="ListBullet"/>
        <w:spacing w:after="60"/>
      </w:pPr>
      <w:r>
        <w:rPr>
          <w:rFonts w:ascii="Arial" w:hAnsi="Arial"/>
          <w:b w:val="0"/>
          <w:color w:val="000000"/>
          <w:sz w:val="21"/>
        </w:rPr>
        <w:t>La base pública no ofrece usuarios ni potencia afectada de forma consistente.</w:t>
      </w:r>
    </w:p>
    <w:p>
      <w:pPr>
        <w:pStyle w:val="ListBullet"/>
        <w:spacing w:after="60"/>
      </w:pPr>
      <w:r>
        <w:rPr>
          <w:rFonts w:ascii="Arial" w:hAnsi="Arial"/>
          <w:b w:val="0"/>
          <w:color w:val="000000"/>
          <w:sz w:val="21"/>
        </w:rPr>
        <w:t>La severidad depende solo de la duración y no representa un criterio regulatorio.</w:t>
      </w:r>
    </w:p>
    <w:p>
      <w:pPr>
        <w:pStyle w:val="ListBullet"/>
        <w:spacing w:after="60"/>
      </w:pPr>
      <w:r>
        <w:rPr>
          <w:rFonts w:ascii="Arial" w:hAnsi="Arial"/>
          <w:b w:val="0"/>
          <w:color w:val="000000"/>
          <w:sz w:val="21"/>
        </w:rPr>
        <w:t>Los códigos de tipo y causa requieren un catálogo oficial para una interpretación operacional completa.</w:t>
      </w:r>
    </w:p>
    <w:p>
      <w:pPr>
        <w:pStyle w:val="ListBullet"/>
        <w:spacing w:after="60"/>
      </w:pPr>
      <w:r>
        <w:rPr>
          <w:rFonts w:ascii="Arial" w:hAnsi="Arial"/>
          <w:b w:val="0"/>
          <w:color w:val="000000"/>
          <w:sz w:val="21"/>
        </w:rPr>
        <w:t>Una aplicación real debe agregar topología, estado de protecciones, carga, maniobras y condiciones meteorológicas.</w:t>
      </w:r>
    </w:p>
    <w:p>
      <w:pPr>
        <w:pStyle w:val="Heading1"/>
      </w:pPr>
      <w:r>
        <w:t>Conclusiones</w:t>
      </w:r>
    </w:p>
    <w:p>
      <w:r>
        <w:t>La solución cumple el flujo planteado para el proyecto integrador: ingesta pública, control de calidad, análisis descriptivo, comparación temporal de modelos, serialización, API, dashboard, Docker y reentrenamiento. Ridge redujo el MAE frente a la mediana histórica, mientras que Random Forest superó la clase mayoritaria en severidad.</w:t>
      </w:r>
    </w:p>
    <w:p>
      <w:r>
        <w:t>El resultado demuestra la viabilidad técnica del pipeline y también su límite principal. Con la muestra pública disponible, el modelo funciona como prototipo académico. La siguiente versión debe ampliar el historial y añadir variables operativas antes de cualquier uso en un centro de control.</w:t>
      </w:r>
    </w:p>
    <w:p>
      <w:pPr>
        <w:pStyle w:val="Heading1"/>
      </w:pPr>
      <w:r>
        <w:t>Referencias</w:t>
      </w:r>
    </w:p>
    <w:p>
      <w:pPr>
        <w:ind w:left="397" w:hanging="397"/>
      </w:pPr>
      <w:r>
        <w:rPr>
          <w:rFonts w:ascii="Arial" w:hAnsi="Arial"/>
          <w:b w:val="0"/>
          <w:color w:val="000000"/>
          <w:sz w:val="19"/>
        </w:rPr>
        <w:t>Osinergmin. Mapa SEIN y calidad. Servicio ArcGIS REST. https://gisem.osinergmin.gob.pe/serverosih/rest/services/Electricidad/MapaSEIN_Calidad/MapServer</w:t>
      </w:r>
    </w:p>
    <w:p>
      <w:pPr>
        <w:ind w:left="397" w:hanging="397"/>
      </w:pPr>
      <w:r>
        <w:rPr>
          <w:rFonts w:ascii="Arial" w:hAnsi="Arial"/>
          <w:b w:val="0"/>
          <w:color w:val="000000"/>
          <w:sz w:val="19"/>
        </w:rPr>
        <w:t>Documentación de FastAPI. https://fastapi.tiangolo.com/</w:t>
      </w:r>
    </w:p>
    <w:p>
      <w:pPr>
        <w:ind w:left="397" w:hanging="397"/>
      </w:pPr>
      <w:r>
        <w:rPr>
          <w:rFonts w:ascii="Arial" w:hAnsi="Arial"/>
          <w:b w:val="0"/>
          <w:color w:val="000000"/>
          <w:sz w:val="19"/>
        </w:rPr>
        <w:t>Documentación de Streamlit. https://docs.streamlit.io/</w:t>
      </w:r>
    </w:p>
    <w:p>
      <w:pPr>
        <w:ind w:left="397" w:hanging="397"/>
      </w:pPr>
      <w:r>
        <w:rPr>
          <w:rFonts w:ascii="Arial" w:hAnsi="Arial"/>
          <w:b w:val="0"/>
          <w:color w:val="000000"/>
          <w:sz w:val="19"/>
        </w:rPr>
        <w:t>Documentación de Docker Compose. https://docs.docker.com/compose/</w:t>
      </w:r>
    </w:p>
    <w:p>
      <w:r>
        <w:br w:type="page"/>
      </w:r>
    </w:p>
    <w:p>
      <w:pPr>
        <w:pStyle w:val="Heading1"/>
      </w:pPr>
      <w:r>
        <w:t>Anexo de variables</w:t>
      </w:r>
    </w:p>
    <w:tbl>
      <w:tblPr>
        <w:tblW w:type="auto" w:w="0"/>
        <w:jc w:val="center"/>
        <w:tblLayout w:type="fixed"/>
        <w:tblLook w:firstColumn="1" w:firstRow="1" w:lastColumn="0" w:lastRow="0" w:noHBand="0" w:noVBand="1" w:val="04A0"/>
      </w:tblPr>
      <w:tblGrid>
        <w:gridCol w:w="4706"/>
        <w:gridCol w:w="4706"/>
      </w:tblGrid>
      <w:tr>
        <w:tc>
          <w:tcPr>
            <w:tcW w:type="dxa" w:w="340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Variable</w:t>
            </w:r>
          </w:p>
        </w:tc>
        <w:tc>
          <w:tcPr>
            <w:tcW w:type="dxa" w:w="55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color w:val="FFFFFF"/>
                <w:sz w:val="18"/>
              </w:rPr>
              <w:t>Definición</w:t>
            </w:r>
          </w:p>
        </w:tc>
      </w:tr>
      <w:tr>
        <w:tc>
          <w:tcPr>
            <w:tcW w:type="dxa" w:w="340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tipo_interrupcion</w:t>
            </w:r>
          </w:p>
        </w:tc>
        <w:tc>
          <w:tcPr>
            <w:tcW w:type="dxa" w:w="55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Código de tipo informado por la fuente</w:t>
            </w:r>
          </w:p>
        </w:tc>
      </w:tr>
      <w:tr>
        <w:tc>
          <w:tcPr>
            <w:tcW w:type="dxa" w:w="3402"/>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causa_interrupcion</w:t>
            </w:r>
          </w:p>
        </w:tc>
        <w:tc>
          <w:tcPr>
            <w:tcW w:type="dxa" w:w="5556"/>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Código de causa informado por la fuente</w:t>
            </w:r>
          </w:p>
        </w:tc>
      </w:tr>
      <w:tr>
        <w:tc>
          <w:tcPr>
            <w:tcW w:type="dxa" w:w="340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cliente</w:t>
            </w:r>
          </w:p>
        </w:tc>
        <w:tc>
          <w:tcPr>
            <w:tcW w:type="dxa" w:w="55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Cliente asociado al punto de entrega</w:t>
            </w:r>
          </w:p>
        </w:tc>
      </w:tr>
      <w:tr>
        <w:tc>
          <w:tcPr>
            <w:tcW w:type="dxa" w:w="3402"/>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suministrador</w:t>
            </w:r>
          </w:p>
        </w:tc>
        <w:tc>
          <w:tcPr>
            <w:tcW w:type="dxa" w:w="5556"/>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Empresa o empresas suministradoras</w:t>
            </w:r>
          </w:p>
        </w:tc>
      </w:tr>
      <w:tr>
        <w:tc>
          <w:tcPr>
            <w:tcW w:type="dxa" w:w="340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propietario</w:t>
            </w:r>
          </w:p>
        </w:tc>
        <w:tc>
          <w:tcPr>
            <w:tcW w:type="dxa" w:w="55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Propietario del punto de entrega</w:t>
            </w:r>
          </w:p>
        </w:tc>
      </w:tr>
      <w:tr>
        <w:tc>
          <w:tcPr>
            <w:tcW w:type="dxa" w:w="3402"/>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nivel_tension</w:t>
            </w:r>
          </w:p>
        </w:tc>
        <w:tc>
          <w:tcPr>
            <w:tcW w:type="dxa" w:w="5556"/>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Nivel de tensión informado</w:t>
            </w:r>
          </w:p>
        </w:tc>
      </w:tr>
      <w:tr>
        <w:tc>
          <w:tcPr>
            <w:tcW w:type="dxa" w:w="340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tension_nominal_kv</w:t>
            </w:r>
          </w:p>
        </w:tc>
        <w:tc>
          <w:tcPr>
            <w:tcW w:type="dxa" w:w="55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Tensión nominal de operación en kV</w:t>
            </w:r>
          </w:p>
        </w:tc>
      </w:tr>
      <w:tr>
        <w:tc>
          <w:tcPr>
            <w:tcW w:type="dxa" w:w="3402"/>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hora</w:t>
            </w:r>
          </w:p>
        </w:tc>
        <w:tc>
          <w:tcPr>
            <w:tcW w:type="dxa" w:w="5556"/>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Hora de inicio del evento</w:t>
            </w:r>
          </w:p>
        </w:tc>
      </w:tr>
      <w:tr>
        <w:tc>
          <w:tcPr>
            <w:tcW w:type="dxa" w:w="340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dia_semana</w:t>
            </w:r>
          </w:p>
        </w:tc>
        <w:tc>
          <w:tcPr>
            <w:tcW w:type="dxa" w:w="55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Día de la semana de inicio</w:t>
            </w:r>
          </w:p>
        </w:tc>
      </w:tr>
      <w:tr>
        <w:tc>
          <w:tcPr>
            <w:tcW w:type="dxa" w:w="3402"/>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mes</w:t>
            </w:r>
          </w:p>
        </w:tc>
        <w:tc>
          <w:tcPr>
            <w:tcW w:type="dxa" w:w="5556"/>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Mes de inicio</w:t>
            </w:r>
          </w:p>
        </w:tc>
      </w:tr>
      <w:tr>
        <w:tc>
          <w:tcPr>
            <w:tcW w:type="dxa" w:w="340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es_fin_semana</w:t>
            </w:r>
          </w:p>
        </w:tc>
        <w:tc>
          <w:tcPr>
            <w:tcW w:type="dxa" w:w="55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Indicador de sábado o domingo</w:t>
            </w:r>
          </w:p>
        </w:tc>
      </w:tr>
      <w:tr>
        <w:tc>
          <w:tcPr>
            <w:tcW w:type="dxa" w:w="3402"/>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es_noche</w:t>
            </w:r>
          </w:p>
        </w:tc>
        <w:tc>
          <w:tcPr>
            <w:tcW w:type="dxa" w:w="5556"/>
            <w:vAlign w:val="center"/>
            <w:shd w:fill="F3F6FA"/>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Indicador de horario nocturno</w:t>
            </w:r>
          </w:p>
        </w:tc>
      </w:tr>
      <w:tr>
        <w:tc>
          <w:tcPr>
            <w:tcW w:type="dxa" w:w="340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left"/>
            </w:pPr>
            <w:r>
              <w:rPr>
                <w:rFonts w:ascii="Arial" w:hAnsi="Arial"/>
                <w:b w:val="0"/>
                <w:color w:val="000000"/>
                <w:sz w:val="17"/>
              </w:rPr>
              <w:t>cantidad_suministradores</w:t>
            </w:r>
          </w:p>
        </w:tc>
        <w:tc>
          <w:tcPr>
            <w:tcW w:type="dxa" w:w="55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rFonts w:ascii="Arial" w:hAnsi="Arial"/>
                <w:b w:val="0"/>
                <w:color w:val="000000"/>
                <w:sz w:val="17"/>
              </w:rPr>
              <w:t>Número de suministradores listados</w:t>
            </w:r>
          </w:p>
        </w:tc>
      </w:tr>
    </w:tbl>
    <w:p>
      <w:pPr>
        <w:spacing w:after="0"/>
      </w:pPr>
    </w:p>
    <w:sectPr w:rsidR="00FC693F" w:rsidRPr="0006063C" w:rsidSect="00034616">
      <w:footerReference w:type="default" r:id="rId9"/>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706"/>
      <w:gridCol w:w="4706"/>
    </w:tblGrid>
    <w:tr>
      <w:tc>
        <w:tcPr>
          <w:tcW w:type="dxa" w:w="7654"/>
        </w:tcPr>
        <w:p>
          <w:r>
            <w:rPr>
              <w:rFonts w:ascii="Arial" w:hAnsi="Arial"/>
              <w:b w:val="0"/>
              <w:color w:val="666666"/>
              <w:sz w:val="16"/>
            </w:rPr>
            <w:t>Proyecto integrador de interrupciones eléctricas</w:t>
          </w:r>
        </w:p>
      </w:tc>
      <w:tc>
        <w:tcPr>
          <w:tcW w:type="dxa" w:w="1757"/>
        </w:tcPr>
        <w:p>
          <w:pPr>
            <w:jc w:val="right"/>
          </w:pPr>
          <w:r>
            <w:rPr>
              <w:rFonts w:ascii="Arial" w:hAnsi="Arial"/>
              <w:b w:val="0"/>
              <w:color w:val="666666"/>
              <w:sz w:val="16"/>
            </w:rPr>
            <w:t xml:space="preserve">Página </w:t>
          </w:r>
          <w: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predictivo de duración y severidad de interrupciones eléctricas</dc:title>
  <dc:subject>Proyecto final integrador</dc:subject>
  <dc:creator>Anthony Ventura</dc:creator>
  <cp:keywords/>
  <dc:description>generated by python-docx</dc:description>
  <cp:lastModifiedBy/>
  <cp:revision>1</cp:revision>
  <dcterms:created xsi:type="dcterms:W3CDTF">2013-12-23T23:15:00Z</dcterms:created>
  <dcterms:modified xsi:type="dcterms:W3CDTF">2013-12-23T23:15:00Z</dcterms:modified>
  <cp:category/>
</cp:coreProperties>
</file>