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Gestión De Alcance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vertAlign w:val="baseline"/>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GROWDER </w:t>
      </w:r>
      <w:r w:rsidDel="00000000" w:rsidR="00000000" w:rsidRPr="00000000">
        <w:rPr>
          <w:rFonts w:ascii="Calibri" w:cs="Calibri" w:eastAsia="Calibri" w:hAnsi="Calibri"/>
          <w:b w:val="1"/>
          <w:bCs w:val="1"/>
          <w:i w:val="1"/>
          <w:iCs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14/09/2026</w:t>
      </w:r>
      <w:r w:rsidDel="00000000" w:rsidR="00000000" w:rsidRPr="00000000">
        <w:rPr>
          <w:b w:val="1"/>
          <w:bCs w:val="1"/>
          <w:i w:val="1"/>
          <w:iCs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sz w:val="32"/>
          <w:szCs w:val="32"/>
          <w:vertAlign w:val="baseline"/>
        </w:rPr>
      </w:pPr>
      <w:r w:rsidDel="00000000" w:rsidR="00000000" w:rsidRPr="00000000">
        <w:rPr>
          <w:rtl w:val="0"/>
        </w:rPr>
      </w:r>
    </w:p>
    <w:p w:rsidR="00000000" w:rsidDel="00000000" w:rsidP="00000000" w:rsidRDefault="00000000" w:rsidRPr="00000000" w14:paraId="00000027">
      <w:pPr>
        <w:spacing w:after="0" w:line="240" w:lineRule="auto"/>
        <w:rPr>
          <w:b w:val="0"/>
          <w:bCs w:val="0"/>
          <w:vertAlign w:val="baseline"/>
        </w:rPr>
      </w:pPr>
      <w:r w:rsidDel="00000000" w:rsidR="00000000" w:rsidRPr="00000000">
        <w:rPr>
          <w:rtl w:val="0"/>
        </w:rPr>
      </w:r>
    </w:p>
    <w:tbl>
      <w:tblPr>
        <w:tblStyle w:val="Table1"/>
        <w:tblW w:w="9435.0" w:type="dxa"/>
        <w:jc w:val="left"/>
        <w:tblInd w:w="-5.9999999999999964" w:type="dxa"/>
        <w:tblLayout w:type="fixed"/>
        <w:tblLook w:val="0000"/>
      </w:tblPr>
      <w:tblGrid>
        <w:gridCol w:w="8370"/>
        <w:gridCol w:w="1065"/>
        <w:tblGridChange w:id="0">
          <w:tblGrid>
            <w:gridCol w:w="8370"/>
            <w:gridCol w:w="1065"/>
          </w:tblGrid>
        </w:tblGridChange>
      </w:tblGrid>
      <w:tr>
        <w:trPr>
          <w:cantSplit w:val="0"/>
          <w:trHeight w:val="405" w:hRule="atLeast"/>
          <w:tblHeader w:val="0"/>
        </w:trPr>
        <w:tc>
          <w:tcPr>
            <w:vAlign w:val="top"/>
          </w:tcPr>
          <w:p w:rsidR="00000000" w:rsidDel="00000000" w:rsidP="00000000" w:rsidRDefault="00000000" w:rsidRPr="00000000" w14:paraId="00000028">
            <w:pPr>
              <w:spacing w:after="0" w:line="240" w:lineRule="auto"/>
              <w:rPr>
                <w:vertAlign w:val="baseline"/>
              </w:rPr>
            </w:pPr>
            <w:r w:rsidDel="00000000" w:rsidR="00000000" w:rsidRPr="00000000">
              <w:rPr>
                <w:vertAlign w:val="baseline"/>
                <w:rtl w:val="0"/>
              </w:rPr>
              <w:t xml:space="preserve">Definición de alcance del proyecto o fase…………………………….………..</w:t>
            </w:r>
          </w:p>
        </w:tc>
        <w:tc>
          <w:tcPr>
            <w:vAlign w:val="top"/>
          </w:tcPr>
          <w:p w:rsidR="00000000" w:rsidDel="00000000" w:rsidP="00000000" w:rsidRDefault="00000000" w:rsidRPr="00000000" w14:paraId="00000029">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4</w:t>
            </w: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A">
            <w:pPr>
              <w:spacing w:after="0" w:line="240" w:lineRule="auto"/>
              <w:rPr>
                <w:vertAlign w:val="baseline"/>
              </w:rPr>
            </w:pPr>
            <w:r w:rsidDel="00000000" w:rsidR="00000000" w:rsidRPr="00000000">
              <w:rPr>
                <w:vertAlign w:val="baseline"/>
                <w:rtl w:val="0"/>
              </w:rPr>
              <w:t xml:space="preserve">Requerimientos del cliente…………………………………………..…………….</w:t>
            </w:r>
          </w:p>
        </w:tc>
        <w:tc>
          <w:tcPr>
            <w:vAlign w:val="top"/>
          </w:tcPr>
          <w:p w:rsidR="00000000" w:rsidDel="00000000" w:rsidP="00000000" w:rsidRDefault="00000000" w:rsidRPr="00000000" w14:paraId="0000002B">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5</w:t>
            </w: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C">
            <w:pPr>
              <w:spacing w:after="0" w:line="240" w:lineRule="auto"/>
              <w:rPr>
                <w:vertAlign w:val="baseline"/>
              </w:rPr>
            </w:pPr>
            <w:r w:rsidDel="00000000" w:rsidR="00000000" w:rsidRPr="00000000">
              <w:rPr>
                <w:vertAlign w:val="baseline"/>
                <w:rtl w:val="0"/>
              </w:rPr>
              <w:t xml:space="preserve">Activos de los procesos de la organización……………………………..……….</w:t>
            </w:r>
          </w:p>
        </w:tc>
        <w:tc>
          <w:tcPr>
            <w:vAlign w:val="top"/>
          </w:tcPr>
          <w:p w:rsidR="00000000" w:rsidDel="00000000" w:rsidP="00000000" w:rsidRDefault="00000000" w:rsidRPr="00000000" w14:paraId="0000002D">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6</w:t>
            </w:r>
            <w:r w:rsidDel="00000000" w:rsidR="00000000" w:rsidRPr="00000000">
              <w:rPr>
                <w:rtl w:val="0"/>
              </w:rPr>
            </w:r>
          </w:p>
        </w:tc>
      </w:tr>
      <w:tr>
        <w:trPr>
          <w:cantSplit w:val="0"/>
          <w:trHeight w:val="165" w:hRule="atLeast"/>
          <w:tblHeader w:val="0"/>
        </w:trPr>
        <w:tc>
          <w:tcPr>
            <w:vAlign w:val="top"/>
          </w:tcPr>
          <w:p w:rsidR="00000000" w:rsidDel="00000000" w:rsidP="00000000" w:rsidRDefault="00000000" w:rsidRPr="00000000" w14:paraId="0000002E">
            <w:pPr>
              <w:spacing w:after="0" w:line="240" w:lineRule="auto"/>
              <w:rPr>
                <w:vertAlign w:val="baseline"/>
              </w:rPr>
            </w:pPr>
            <w:r w:rsidDel="00000000" w:rsidR="00000000" w:rsidRPr="00000000">
              <w:rPr>
                <w:vertAlign w:val="baseline"/>
                <w:rtl w:val="0"/>
              </w:rPr>
              <w:t xml:space="preserve">Factores ambientales de la empresa………………………………..……………</w:t>
            </w:r>
          </w:p>
        </w:tc>
        <w:tc>
          <w:tcPr>
            <w:vAlign w:val="top"/>
          </w:tcPr>
          <w:p w:rsidR="00000000" w:rsidDel="00000000" w:rsidP="00000000" w:rsidRDefault="00000000" w:rsidRPr="00000000" w14:paraId="0000002F">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7</w:t>
            </w:r>
            <w:r w:rsidDel="00000000" w:rsidR="00000000" w:rsidRPr="00000000">
              <w:rPr>
                <w:rtl w:val="0"/>
              </w:rPr>
            </w:r>
          </w:p>
        </w:tc>
      </w:tr>
      <w:tr>
        <w:trPr>
          <w:cantSplit w:val="0"/>
          <w:trHeight w:val="375" w:hRule="atLeast"/>
          <w:tblHeader w:val="0"/>
        </w:trPr>
        <w:tc>
          <w:tcPr>
            <w:vAlign w:val="top"/>
          </w:tcPr>
          <w:p w:rsidR="00000000" w:rsidDel="00000000" w:rsidP="00000000" w:rsidRDefault="00000000" w:rsidRPr="00000000" w14:paraId="00000030">
            <w:pPr>
              <w:spacing w:after="0" w:line="240" w:lineRule="auto"/>
              <w:rPr>
                <w:vertAlign w:val="baseline"/>
              </w:rPr>
            </w:pPr>
            <w:r w:rsidDel="00000000" w:rsidR="00000000" w:rsidRPr="00000000">
              <w:rPr>
                <w:vertAlign w:val="baseline"/>
                <w:rtl w:val="0"/>
              </w:rPr>
              <w:t xml:space="preserve">Estándar para la dirección de proyectos………………………….……………..</w:t>
            </w:r>
          </w:p>
        </w:tc>
        <w:tc>
          <w:tcPr>
            <w:vAlign w:val="top"/>
          </w:tcPr>
          <w:p w:rsidR="00000000" w:rsidDel="00000000" w:rsidP="00000000" w:rsidRDefault="00000000" w:rsidRPr="00000000" w14:paraId="00000031">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8</w:t>
            </w:r>
            <w:r w:rsidDel="00000000" w:rsidR="00000000" w:rsidRPr="00000000">
              <w:rPr>
                <w:rtl w:val="0"/>
              </w:rPr>
            </w:r>
          </w:p>
        </w:tc>
      </w:tr>
    </w:tbl>
    <w:p w:rsidR="00000000" w:rsidDel="00000000" w:rsidP="00000000" w:rsidRDefault="00000000" w:rsidRPr="00000000" w14:paraId="0000003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color w:val="365f91"/>
        </w:rPr>
      </w:pPr>
      <w:r w:rsidDel="00000000" w:rsidR="00000000" w:rsidRPr="00000000">
        <w:rPr>
          <w:rtl w:val="0"/>
        </w:rPr>
      </w:r>
    </w:p>
    <w:p w:rsidR="00000000" w:rsidDel="00000000" w:rsidP="00000000" w:rsidRDefault="00000000" w:rsidRPr="00000000" w14:paraId="00000049">
      <w:pPr>
        <w:spacing w:after="0" w:line="240" w:lineRule="auto"/>
        <w:rPr>
          <w:color w:val="365f91"/>
        </w:rPr>
      </w:pPr>
      <w:r w:rsidDel="00000000" w:rsidR="00000000" w:rsidRPr="00000000">
        <w:rPr>
          <w:rtl w:val="0"/>
        </w:rPr>
      </w:r>
    </w:p>
    <w:p w:rsidR="00000000" w:rsidDel="00000000" w:rsidP="00000000" w:rsidRDefault="00000000" w:rsidRPr="00000000" w14:paraId="0000004A">
      <w:pPr>
        <w:spacing w:after="0" w:line="240" w:lineRule="auto"/>
        <w:rPr>
          <w:color w:val="365f91"/>
        </w:rPr>
      </w:pPr>
      <w:r w:rsidDel="00000000" w:rsidR="00000000" w:rsidRPr="00000000">
        <w:rPr>
          <w:rtl w:val="0"/>
        </w:rPr>
      </w:r>
    </w:p>
    <w:p w:rsidR="00000000" w:rsidDel="00000000" w:rsidP="00000000" w:rsidRDefault="00000000" w:rsidRPr="00000000" w14:paraId="0000004B">
      <w:pPr>
        <w:spacing w:after="0" w:line="240" w:lineRule="auto"/>
        <w:rPr>
          <w:color w:val="365f91"/>
        </w:rPr>
      </w:pPr>
      <w:r w:rsidDel="00000000" w:rsidR="00000000" w:rsidRPr="00000000">
        <w:rPr>
          <w:rtl w:val="0"/>
        </w:rPr>
      </w:r>
    </w:p>
    <w:p w:rsidR="00000000" w:rsidDel="00000000" w:rsidP="00000000" w:rsidRDefault="00000000" w:rsidRPr="00000000" w14:paraId="0000004C">
      <w:pPr>
        <w:spacing w:after="0" w:line="240" w:lineRule="auto"/>
        <w:rPr>
          <w:color w:val="365f91"/>
        </w:rPr>
      </w:pPr>
      <w:r w:rsidDel="00000000" w:rsidR="00000000" w:rsidRPr="00000000">
        <w:rPr>
          <w:rtl w:val="0"/>
        </w:rPr>
      </w:r>
    </w:p>
    <w:p w:rsidR="00000000" w:rsidDel="00000000" w:rsidP="00000000" w:rsidRDefault="00000000" w:rsidRPr="00000000" w14:paraId="0000004D">
      <w:pPr>
        <w:spacing w:after="0" w:line="240" w:lineRule="auto"/>
        <w:rPr>
          <w:color w:val="365f91"/>
        </w:rPr>
      </w:pPr>
      <w:r w:rsidDel="00000000" w:rsidR="00000000" w:rsidRPr="00000000">
        <w:rPr>
          <w:rtl w:val="0"/>
        </w:rPr>
      </w:r>
    </w:p>
    <w:p w:rsidR="00000000" w:rsidDel="00000000" w:rsidP="00000000" w:rsidRDefault="00000000" w:rsidRPr="00000000" w14:paraId="0000004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4">
      <w:pPr>
        <w:pStyle w:val="Heading2"/>
        <w:keepNext w:val="0"/>
        <w:keepLines w:val="0"/>
        <w:spacing w:line="240" w:lineRule="auto"/>
        <w:rPr>
          <w:color w:val="365f91"/>
          <w:sz w:val="34"/>
          <w:szCs w:val="34"/>
        </w:rPr>
      </w:pPr>
      <w:bookmarkStart w:colFirst="0" w:colLast="0" w:name="_heading=h.dm0e4nk9mpro" w:id="0"/>
      <w:bookmarkEnd w:id="0"/>
      <w:r w:rsidDel="00000000" w:rsidR="00000000" w:rsidRPr="00000000">
        <w:rPr>
          <w:color w:val="365f91"/>
          <w:sz w:val="34"/>
          <w:szCs w:val="34"/>
          <w:rtl w:val="0"/>
        </w:rPr>
        <w:t xml:space="preserve">1. Definición de alcance del proyecto o fase</w:t>
      </w:r>
    </w:p>
    <w:p w:rsidR="00000000" w:rsidDel="00000000" w:rsidP="00000000" w:rsidRDefault="00000000" w:rsidRPr="00000000" w14:paraId="00000055">
      <w:pPr>
        <w:spacing w:after="240" w:before="240" w:line="240" w:lineRule="auto"/>
        <w:rPr>
          <w:b w:val="1"/>
          <w:bCs w:val="1"/>
          <w:color w:val="365f91"/>
        </w:rPr>
      </w:pPr>
      <w:r w:rsidDel="00000000" w:rsidR="00000000" w:rsidRPr="00000000">
        <w:rPr>
          <w:rtl w:val="0"/>
        </w:rPr>
      </w:r>
    </w:p>
    <w:p w:rsidR="00000000" w:rsidDel="00000000" w:rsidP="00000000" w:rsidRDefault="00000000" w:rsidRPr="00000000" w14:paraId="00000056">
      <w:pPr>
        <w:spacing w:after="240" w:before="240" w:line="240" w:lineRule="auto"/>
        <w:rPr>
          <w:b w:val="1"/>
          <w:bCs w:val="1"/>
          <w:color w:val="365f91"/>
        </w:rPr>
      </w:pPr>
      <w:r w:rsidDel="00000000" w:rsidR="00000000" w:rsidRPr="00000000">
        <w:rPr>
          <w:rtl w:val="0"/>
        </w:rPr>
      </w:r>
    </w:p>
    <w:p w:rsidR="00000000" w:rsidDel="00000000" w:rsidP="00000000" w:rsidRDefault="00000000" w:rsidRPr="00000000" w14:paraId="00000057">
      <w:pPr>
        <w:spacing w:after="240" w:before="240" w:line="240" w:lineRule="auto"/>
        <w:rPr/>
      </w:pPr>
      <w:r w:rsidDel="00000000" w:rsidR="00000000" w:rsidRPr="00000000">
        <w:rPr>
          <w:rtl w:val="0"/>
        </w:rPr>
        <w:t xml:space="preserve">El proyecto GROWDER tiene como objetivo desarrollar una solución de comercio electrónico integrada para SuMateCL, orientada a centralizar la gestión de productos, inventario, usuarios y pedidos mediante una plataforma Web, una aplicación móvil Android y servicios centralizados en la nube.</w:t>
      </w:r>
    </w:p>
    <w:p w:rsidR="00000000" w:rsidDel="00000000" w:rsidP="00000000" w:rsidRDefault="00000000" w:rsidRPr="00000000" w14:paraId="00000058">
      <w:pPr>
        <w:spacing w:after="240" w:before="240" w:line="240" w:lineRule="auto"/>
        <w:rPr/>
      </w:pPr>
      <w:r w:rsidDel="00000000" w:rsidR="00000000" w:rsidRPr="00000000">
        <w:rPr>
          <w:rtl w:val="0"/>
        </w:rPr>
        <w:t xml:space="preserve">El alcance del proyecto contempla una plataforma Web compuesta por un área orientada a clientes y un panel administrativo protegido según roles. El área de clientes permitirá registrarse e iniciar sesión, consultar el catálogo de productos, gestionar un carrito de compras, generar pedidos, realizar una simulación de pago en ambiente Sandbox y consultar el estado de sus pedidos. El panel administrativo permitirá gestionar productos, inventario, usuarios y pedidos según los permisos definidos para los roles Administrador y Trabajador de Bodega.</w:t>
      </w:r>
    </w:p>
    <w:p w:rsidR="00000000" w:rsidDel="00000000" w:rsidP="00000000" w:rsidRDefault="00000000" w:rsidRPr="00000000" w14:paraId="00000059">
      <w:pPr>
        <w:spacing w:after="240" w:before="240" w:line="240" w:lineRule="auto"/>
        <w:rPr/>
      </w:pPr>
      <w:r w:rsidDel="00000000" w:rsidR="00000000" w:rsidRPr="00000000">
        <w:rPr>
          <w:rtl w:val="0"/>
        </w:rPr>
        <w:t xml:space="preserve">Asimismo, se desarrollará una aplicación móvil para dispositivos Android orientada a clientes, desde la cual se podrá acceder a las principales funcionalidades de compra y seguimiento de pedidos. Tanto la plataforma Web como la aplicación móvil utilizarán servicios centralizados mediante Supabase para gestionar la información del sistema.</w:t>
      </w:r>
    </w:p>
    <w:p w:rsidR="00000000" w:rsidDel="00000000" w:rsidP="00000000" w:rsidRDefault="00000000" w:rsidRPr="00000000" w14:paraId="0000005A">
      <w:pPr>
        <w:spacing w:after="240" w:before="240" w:line="240" w:lineRule="auto"/>
        <w:rPr/>
      </w:pPr>
      <w:r w:rsidDel="00000000" w:rsidR="00000000" w:rsidRPr="00000000">
        <w:rPr>
          <w:rtl w:val="0"/>
        </w:rPr>
        <w:t xml:space="preserve">El proyecto contempla la simulación del proceso de pago mediante Webpay Plus y/o Mercado Pago en ambiente Sandbox, sin realizar transacciones con dinero real. La gestión logística se limitará al seguimiento interno mediante los estados </w:t>
      </w:r>
      <w:r w:rsidDel="00000000" w:rsidR="00000000" w:rsidRPr="00000000">
        <w:rPr>
          <w:b w:val="1"/>
          <w:bCs w:val="1"/>
          <w:rtl w:val="0"/>
        </w:rPr>
        <w:t xml:space="preserve">Recibido, En preparación, Despachado y Entregado</w:t>
      </w:r>
      <w:r w:rsidDel="00000000" w:rsidR="00000000" w:rsidRPr="00000000">
        <w:rPr>
          <w:rtl w:val="0"/>
        </w:rPr>
        <w:t xml:space="preserve">, sin integración automática con empresas externas de transporte.</w:t>
      </w:r>
    </w:p>
    <w:p w:rsidR="00000000" w:rsidDel="00000000" w:rsidP="00000000" w:rsidRDefault="00000000" w:rsidRPr="00000000" w14:paraId="0000005B">
      <w:pPr>
        <w:spacing w:after="240" w:before="240" w:line="240" w:lineRule="auto"/>
        <w:rPr/>
      </w:pPr>
      <w:r w:rsidDel="00000000" w:rsidR="00000000" w:rsidRPr="00000000">
        <w:rPr>
          <w:rtl w:val="0"/>
        </w:rPr>
        <w:t xml:space="preserve">Quedan fuera del alcance del MVP el desarrollo de una aplicación para iOS, los pagos reales en ambientes productivos, la integración mediante API con empresas de courier, la facturación electrónica integrada con el SII y cualquier funcionalidad adicional que no forme parte de los requerimientos priorizados para el período académico.</w:t>
      </w:r>
    </w:p>
    <w:p w:rsidR="00000000" w:rsidDel="00000000" w:rsidP="00000000" w:rsidRDefault="00000000" w:rsidRPr="00000000" w14:paraId="0000005C">
      <w:pPr>
        <w:spacing w:after="240" w:before="240" w:line="240" w:lineRule="auto"/>
        <w:rPr/>
      </w:pPr>
      <w:r w:rsidDel="00000000" w:rsidR="00000000" w:rsidRPr="00000000">
        <w:rPr>
          <w:rtl w:val="0"/>
        </w:rPr>
        <w:t xml:space="preserve">El desarrollo del proyecto se ejecutará dentro del período comprendido entre el </w:t>
      </w:r>
      <w:r w:rsidDel="00000000" w:rsidR="00000000" w:rsidRPr="00000000">
        <w:rPr>
          <w:b w:val="1"/>
          <w:bCs w:val="1"/>
          <w:rtl w:val="0"/>
        </w:rPr>
        <w:t xml:space="preserve">13 de agosto y el 26 de noviembre de 2026</w:t>
      </w:r>
      <w:r w:rsidDel="00000000" w:rsidR="00000000" w:rsidRPr="00000000">
        <w:rPr>
          <w:rtl w:val="0"/>
        </w:rPr>
        <w:t xml:space="preserve">, considerando aproximadamente </w:t>
      </w:r>
      <w:r w:rsidDel="00000000" w:rsidR="00000000" w:rsidRPr="00000000">
        <w:rPr>
          <w:b w:val="1"/>
          <w:bCs w:val="1"/>
          <w:rtl w:val="0"/>
        </w:rPr>
        <w:t xml:space="preserve">14 semanas efectivas de trabajo</w:t>
      </w:r>
      <w:r w:rsidDel="00000000" w:rsidR="00000000" w:rsidRPr="00000000">
        <w:rPr>
          <w:rtl w:val="0"/>
        </w:rPr>
        <w:t xml:space="preserve">.</w:t>
      </w:r>
    </w:p>
    <w:p w:rsidR="00000000" w:rsidDel="00000000" w:rsidP="00000000" w:rsidRDefault="00000000" w:rsidRPr="00000000" w14:paraId="0000005D">
      <w:pPr>
        <w:spacing w:after="240" w:before="240" w:line="240" w:lineRule="auto"/>
        <w:rPr/>
      </w:pPr>
      <w:r w:rsidDel="00000000" w:rsidR="00000000" w:rsidRPr="00000000">
        <w:rPr>
          <w:rtl w:val="0"/>
        </w:rPr>
      </w:r>
    </w:p>
    <w:p w:rsidR="00000000" w:rsidDel="00000000" w:rsidP="00000000" w:rsidRDefault="00000000" w:rsidRPr="00000000" w14:paraId="0000005E">
      <w:pPr>
        <w:spacing w:after="240" w:before="240" w:line="240" w:lineRule="auto"/>
        <w:rPr/>
      </w:pPr>
      <w:r w:rsidDel="00000000" w:rsidR="00000000" w:rsidRPr="00000000">
        <w:rPr>
          <w:rtl w:val="0"/>
        </w:rPr>
      </w:r>
    </w:p>
    <w:p w:rsidR="00000000" w:rsidDel="00000000" w:rsidP="00000000" w:rsidRDefault="00000000" w:rsidRPr="00000000" w14:paraId="0000005F">
      <w:pPr>
        <w:spacing w:after="240" w:before="240" w:lin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line="240" w:lineRule="auto"/>
        <w:rPr>
          <w:color w:val="365f91"/>
          <w:sz w:val="34"/>
          <w:szCs w:val="34"/>
        </w:rPr>
      </w:pPr>
      <w:bookmarkStart w:colFirst="0" w:colLast="0" w:name="_heading=h.5ne2vwuqevt" w:id="1"/>
      <w:bookmarkEnd w:id="1"/>
      <w:r w:rsidDel="00000000" w:rsidR="00000000" w:rsidRPr="00000000">
        <w:rPr>
          <w:color w:val="365f91"/>
          <w:sz w:val="34"/>
          <w:szCs w:val="34"/>
          <w:rtl w:val="0"/>
        </w:rPr>
        <w:t xml:space="preserve">2. Requerimientos del cliente</w:t>
      </w:r>
    </w:p>
    <w:p w:rsidR="00000000" w:rsidDel="00000000" w:rsidP="00000000" w:rsidRDefault="00000000" w:rsidRPr="00000000" w14:paraId="00000061">
      <w:pPr>
        <w:spacing w:after="240" w:before="240" w:lin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240" w:lineRule="auto"/>
        <w:rPr/>
      </w:pPr>
      <w:r w:rsidDel="00000000" w:rsidR="00000000" w:rsidRPr="00000000">
        <w:rPr>
          <w:rtl w:val="0"/>
        </w:rPr>
        <w:t xml:space="preserve">Los requerimientos del cliente para GROWDER se orientan a mejorar la gestión comercial y operativa de SuMateCL mediante una solución centralizada que permita reducir inconsistencias de inventario, facilitar la gestión de pedidos y entregar una mejor experiencia de compra a los clientes.</w:t>
      </w:r>
    </w:p>
    <w:p w:rsidR="00000000" w:rsidDel="00000000" w:rsidP="00000000" w:rsidRDefault="00000000" w:rsidRPr="00000000" w14:paraId="00000063">
      <w:pPr>
        <w:spacing w:after="240" w:before="240" w:line="240" w:lineRule="auto"/>
        <w:rPr/>
      </w:pPr>
      <w:r w:rsidDel="00000000" w:rsidR="00000000" w:rsidRPr="00000000">
        <w:rPr>
          <w:rtl w:val="0"/>
        </w:rPr>
        <w:t xml:space="preserve">A partir del levantamiento realizado para el proyecto, se definieron los siguientes requerimientos funcionales prioritarios:</w:t>
      </w:r>
    </w:p>
    <w:p w:rsidR="00000000" w:rsidDel="00000000" w:rsidP="00000000" w:rsidRDefault="00000000" w:rsidRPr="00000000" w14:paraId="00000064">
      <w:pPr>
        <w:numPr>
          <w:ilvl w:val="0"/>
          <w:numId w:val="3"/>
        </w:numPr>
        <w:spacing w:after="0" w:afterAutospacing="0" w:before="240" w:line="240" w:lineRule="auto"/>
        <w:ind w:left="720" w:hanging="360"/>
      </w:pPr>
      <w:r w:rsidDel="00000000" w:rsidR="00000000" w:rsidRPr="00000000">
        <w:rPr>
          <w:b w:val="1"/>
          <w:bCs w:val="1"/>
          <w:rtl w:val="0"/>
        </w:rPr>
        <w:t xml:space="preserve">RF01 – Registro e inicio de sesión:</w:t>
      </w:r>
      <w:r w:rsidDel="00000000" w:rsidR="00000000" w:rsidRPr="00000000">
        <w:rPr>
          <w:rtl w:val="0"/>
        </w:rPr>
        <w:t xml:space="preserve"> El sistema debe permitir al cliente registrarse e iniciar sesión para acceder a las funcionalidades asociadas a su cuenta.</w:t>
      </w:r>
    </w:p>
    <w:p w:rsidR="00000000" w:rsidDel="00000000" w:rsidP="00000000" w:rsidRDefault="00000000" w:rsidRPr="00000000" w14:paraId="00000065">
      <w:pPr>
        <w:numPr>
          <w:ilvl w:val="0"/>
          <w:numId w:val="3"/>
        </w:numPr>
        <w:spacing w:after="0" w:afterAutospacing="0" w:before="0" w:beforeAutospacing="0" w:line="240" w:lineRule="auto"/>
        <w:ind w:left="720" w:hanging="360"/>
      </w:pPr>
      <w:r w:rsidDel="00000000" w:rsidR="00000000" w:rsidRPr="00000000">
        <w:rPr>
          <w:b w:val="1"/>
          <w:bCs w:val="1"/>
          <w:rtl w:val="0"/>
        </w:rPr>
        <w:t xml:space="preserve">RF02 – Consulta del catálogo de productos:</w:t>
      </w:r>
      <w:r w:rsidDel="00000000" w:rsidR="00000000" w:rsidRPr="00000000">
        <w:rPr>
          <w:rtl w:val="0"/>
        </w:rPr>
        <w:t xml:space="preserve"> El sistema debe permitir al cliente visualizar el catálogo con nombre, descripción, precio, imagen y disponibilidad de stock actualizada.</w:t>
      </w:r>
    </w:p>
    <w:p w:rsidR="00000000" w:rsidDel="00000000" w:rsidP="00000000" w:rsidRDefault="00000000" w:rsidRPr="00000000" w14:paraId="00000066">
      <w:pPr>
        <w:numPr>
          <w:ilvl w:val="0"/>
          <w:numId w:val="3"/>
        </w:numPr>
        <w:spacing w:after="0" w:afterAutospacing="0" w:before="0" w:beforeAutospacing="0" w:line="240" w:lineRule="auto"/>
        <w:ind w:left="720" w:hanging="360"/>
      </w:pPr>
      <w:r w:rsidDel="00000000" w:rsidR="00000000" w:rsidRPr="00000000">
        <w:rPr>
          <w:b w:val="1"/>
          <w:bCs w:val="1"/>
          <w:rtl w:val="0"/>
        </w:rPr>
        <w:t xml:space="preserve">RF03 – Gestión del carrito de compras:</w:t>
      </w:r>
      <w:r w:rsidDel="00000000" w:rsidR="00000000" w:rsidRPr="00000000">
        <w:rPr>
          <w:rtl w:val="0"/>
        </w:rPr>
        <w:t xml:space="preserve"> El sistema debe permitir al cliente agregar, modificar y eliminar productos antes de generar un pedido.</w:t>
      </w:r>
    </w:p>
    <w:p w:rsidR="00000000" w:rsidDel="00000000" w:rsidP="00000000" w:rsidRDefault="00000000" w:rsidRPr="00000000" w14:paraId="00000067">
      <w:pPr>
        <w:numPr>
          <w:ilvl w:val="0"/>
          <w:numId w:val="3"/>
        </w:numPr>
        <w:spacing w:after="0" w:afterAutospacing="0" w:before="0" w:beforeAutospacing="0" w:line="240" w:lineRule="auto"/>
        <w:ind w:left="720" w:hanging="360"/>
      </w:pPr>
      <w:r w:rsidDel="00000000" w:rsidR="00000000" w:rsidRPr="00000000">
        <w:rPr>
          <w:b w:val="1"/>
          <w:bCs w:val="1"/>
          <w:rtl w:val="0"/>
        </w:rPr>
        <w:t xml:space="preserve">RF04 – Generación de pedido y pago Sandbox:</w:t>
      </w:r>
      <w:r w:rsidDel="00000000" w:rsidR="00000000" w:rsidRPr="00000000">
        <w:rPr>
          <w:rtl w:val="0"/>
        </w:rPr>
        <w:t xml:space="preserve"> El sistema debe permitir generar un pedido y realizar el proceso de pago mediante una pasarela configurada en ambiente Sandbox.</w:t>
      </w:r>
    </w:p>
    <w:p w:rsidR="00000000" w:rsidDel="00000000" w:rsidP="00000000" w:rsidRDefault="00000000" w:rsidRPr="00000000" w14:paraId="00000068">
      <w:pPr>
        <w:numPr>
          <w:ilvl w:val="0"/>
          <w:numId w:val="3"/>
        </w:numPr>
        <w:spacing w:after="0" w:afterAutospacing="0" w:before="0" w:beforeAutospacing="0" w:line="240" w:lineRule="auto"/>
        <w:ind w:left="720" w:hanging="360"/>
      </w:pPr>
      <w:r w:rsidDel="00000000" w:rsidR="00000000" w:rsidRPr="00000000">
        <w:rPr>
          <w:b w:val="1"/>
          <w:bCs w:val="1"/>
          <w:rtl w:val="0"/>
        </w:rPr>
        <w:t xml:space="preserve">RF05 – Gestión centralizada del inventario:</w:t>
      </w:r>
      <w:r w:rsidDel="00000000" w:rsidR="00000000" w:rsidRPr="00000000">
        <w:rPr>
          <w:rtl w:val="0"/>
        </w:rPr>
        <w:t xml:space="preserve"> El sistema debe mantener un inventario centralizado, actualizar el stock según las compras confirmadas e impedir compras de productos sin disponibilidad.</w:t>
      </w:r>
    </w:p>
    <w:p w:rsidR="00000000" w:rsidDel="00000000" w:rsidP="00000000" w:rsidRDefault="00000000" w:rsidRPr="00000000" w14:paraId="00000069">
      <w:pPr>
        <w:numPr>
          <w:ilvl w:val="0"/>
          <w:numId w:val="3"/>
        </w:numPr>
        <w:spacing w:after="0" w:afterAutospacing="0" w:before="0" w:beforeAutospacing="0" w:line="240" w:lineRule="auto"/>
        <w:ind w:left="720" w:hanging="360"/>
      </w:pPr>
      <w:r w:rsidDel="00000000" w:rsidR="00000000" w:rsidRPr="00000000">
        <w:rPr>
          <w:b w:val="1"/>
          <w:bCs w:val="1"/>
          <w:rtl w:val="0"/>
        </w:rPr>
        <w:t xml:space="preserve">RF06 – Administración mediante panel Web:</w:t>
      </w:r>
      <w:r w:rsidDel="00000000" w:rsidR="00000000" w:rsidRPr="00000000">
        <w:rPr>
          <w:rtl w:val="0"/>
        </w:rPr>
        <w:t xml:space="preserve"> El sistema debe permitir al administrador gestionar productos, inventario y pedidos mediante un panel Web administrativo.</w:t>
      </w:r>
    </w:p>
    <w:p w:rsidR="00000000" w:rsidDel="00000000" w:rsidP="00000000" w:rsidRDefault="00000000" w:rsidRPr="00000000" w14:paraId="0000006A">
      <w:pPr>
        <w:numPr>
          <w:ilvl w:val="0"/>
          <w:numId w:val="3"/>
        </w:numPr>
        <w:spacing w:after="240" w:before="0" w:beforeAutospacing="0" w:line="240" w:lineRule="auto"/>
        <w:ind w:left="720" w:hanging="360"/>
      </w:pPr>
      <w:r w:rsidDel="00000000" w:rsidR="00000000" w:rsidRPr="00000000">
        <w:rPr>
          <w:b w:val="1"/>
          <w:bCs w:val="1"/>
          <w:rtl w:val="0"/>
        </w:rPr>
        <w:t xml:space="preserve">RF07 – Gestión y consulta del estado de pedidos:</w:t>
      </w:r>
      <w:r w:rsidDel="00000000" w:rsidR="00000000" w:rsidRPr="00000000">
        <w:rPr>
          <w:rtl w:val="0"/>
        </w:rPr>
        <w:t xml:space="preserve"> El sistema debe permitir gestionar y consultar los estados </w:t>
      </w:r>
      <w:r w:rsidDel="00000000" w:rsidR="00000000" w:rsidRPr="00000000">
        <w:rPr>
          <w:b w:val="1"/>
          <w:bCs w:val="1"/>
          <w:rtl w:val="0"/>
        </w:rPr>
        <w:t xml:space="preserve">Recibido, En preparación, Despachado y Entregado</w:t>
      </w:r>
      <w:r w:rsidDel="00000000" w:rsidR="00000000" w:rsidRPr="00000000">
        <w:rPr>
          <w:rtl w:val="0"/>
        </w:rPr>
        <w:t xml:space="preserve">.</w:t>
      </w:r>
    </w:p>
    <w:p w:rsidR="00000000" w:rsidDel="00000000" w:rsidP="00000000" w:rsidRDefault="00000000" w:rsidRPr="00000000" w14:paraId="0000006B">
      <w:pPr>
        <w:spacing w:after="240" w:before="240" w:line="240" w:lineRule="auto"/>
        <w:rPr/>
      </w:pPr>
      <w:r w:rsidDel="00000000" w:rsidR="00000000" w:rsidRPr="00000000">
        <w:rPr>
          <w:rtl w:val="0"/>
        </w:rPr>
        <w:t xml:space="preserve">Adicionalmente, el cliente requiere que la solución mantenga la información centralizada entre los distintos componentes, aplique control de acceso según roles, permita operar mediante una plataforma Web y una aplicación Android, y utilice ambientes de prueba para la simulación de pagos.</w:t>
      </w:r>
    </w:p>
    <w:p w:rsidR="00000000" w:rsidDel="00000000" w:rsidP="00000000" w:rsidRDefault="00000000" w:rsidRPr="00000000" w14:paraId="0000006C">
      <w:pPr>
        <w:spacing w:after="240" w:before="240" w:line="240" w:lineRule="auto"/>
        <w:rPr/>
      </w:pPr>
      <w:r w:rsidDel="00000000" w:rsidR="00000000" w:rsidRPr="00000000">
        <w:rPr>
          <w:rtl w:val="0"/>
        </w:rPr>
        <w:t xml:space="preserve">El proyecto no contempla transacciones reales, integración automática con empresas de transporte ni una aplicación para iOS dentro del alcance del MVP.</w:t>
      </w:r>
    </w:p>
    <w:p w:rsidR="00000000" w:rsidDel="00000000" w:rsidP="00000000" w:rsidRDefault="00000000" w:rsidRPr="00000000" w14:paraId="0000006D">
      <w:pPr>
        <w:spacing w:after="240" w:before="240" w:line="240" w:lineRule="auto"/>
        <w:rPr/>
      </w:pPr>
      <w:r w:rsidDel="00000000" w:rsidR="00000000" w:rsidRPr="00000000">
        <w:rPr>
          <w:rtl w:val="0"/>
        </w:rPr>
      </w:r>
    </w:p>
    <w:p w:rsidR="00000000" w:rsidDel="00000000" w:rsidP="00000000" w:rsidRDefault="00000000" w:rsidRPr="00000000" w14:paraId="0000006E">
      <w:pPr>
        <w:spacing w:after="0" w:line="240" w:lineRule="auto"/>
        <w:rPr>
          <w:color w:val="365f91"/>
        </w:rPr>
      </w:pPr>
      <w:r w:rsidDel="00000000" w:rsidR="00000000" w:rsidRPr="00000000">
        <w:rPr>
          <w:rtl w:val="0"/>
        </w:rPr>
      </w:r>
    </w:p>
    <w:p w:rsidR="00000000" w:rsidDel="00000000" w:rsidP="00000000" w:rsidRDefault="00000000" w:rsidRPr="00000000" w14:paraId="0000006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7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71">
      <w:pPr>
        <w:pStyle w:val="Heading2"/>
        <w:keepNext w:val="0"/>
        <w:keepLines w:val="0"/>
        <w:spacing w:line="240" w:lineRule="auto"/>
        <w:rPr>
          <w:color w:val="365f91"/>
          <w:sz w:val="34"/>
          <w:szCs w:val="34"/>
        </w:rPr>
      </w:pPr>
      <w:bookmarkStart w:colFirst="0" w:colLast="0" w:name="_heading=h.amxalp5qt2of" w:id="2"/>
      <w:bookmarkEnd w:id="2"/>
      <w:r w:rsidDel="00000000" w:rsidR="00000000" w:rsidRPr="00000000">
        <w:rPr>
          <w:rtl w:val="0"/>
        </w:rPr>
      </w:r>
    </w:p>
    <w:p w:rsidR="00000000" w:rsidDel="00000000" w:rsidP="00000000" w:rsidRDefault="00000000" w:rsidRPr="00000000" w14:paraId="00000072">
      <w:pPr>
        <w:pStyle w:val="Heading2"/>
        <w:keepNext w:val="0"/>
        <w:keepLines w:val="0"/>
        <w:spacing w:line="240" w:lineRule="auto"/>
        <w:rPr>
          <w:color w:val="365f91"/>
          <w:sz w:val="34"/>
          <w:szCs w:val="34"/>
        </w:rPr>
      </w:pPr>
      <w:bookmarkStart w:colFirst="0" w:colLast="0" w:name="_heading=h.cxyg8x7oambs" w:id="3"/>
      <w:bookmarkEnd w:id="3"/>
      <w:r w:rsidDel="00000000" w:rsidR="00000000" w:rsidRPr="00000000">
        <w:rPr>
          <w:color w:val="365f91"/>
          <w:sz w:val="34"/>
          <w:szCs w:val="34"/>
          <w:rtl w:val="0"/>
        </w:rPr>
        <w:t xml:space="preserve">3. Activos de los procesos de la organización</w:t>
      </w:r>
    </w:p>
    <w:p w:rsidR="00000000" w:rsidDel="00000000" w:rsidP="00000000" w:rsidRDefault="00000000" w:rsidRPr="00000000" w14:paraId="00000073">
      <w:pPr>
        <w:spacing w:after="240" w:before="240" w:line="240" w:lineRule="auto"/>
        <w:rPr>
          <w:b w:val="1"/>
          <w:bCs w:val="1"/>
          <w:color w:val="365f91"/>
        </w:rPr>
      </w:pPr>
      <w:r w:rsidDel="00000000" w:rsidR="00000000" w:rsidRPr="00000000">
        <w:rPr>
          <w:rtl w:val="0"/>
        </w:rPr>
      </w:r>
    </w:p>
    <w:p w:rsidR="00000000" w:rsidDel="00000000" w:rsidP="00000000" w:rsidRDefault="00000000" w:rsidRPr="00000000" w14:paraId="00000074">
      <w:pPr>
        <w:spacing w:after="240" w:before="240" w:line="240" w:lineRule="auto"/>
        <w:rPr/>
      </w:pPr>
      <w:r w:rsidDel="00000000" w:rsidR="00000000" w:rsidRPr="00000000">
        <w:rPr>
          <w:rtl w:val="0"/>
        </w:rPr>
        <w:t xml:space="preserve">Los activos de los procesos de la organización considerados para el proyecto GROWDER corresponden principalmente a documentos, registros y herramientas utilizadas por el equipo para planificar, controlar y dar seguimiento al desarrollo de la solución.</w:t>
      </w:r>
    </w:p>
    <w:p w:rsidR="00000000" w:rsidDel="00000000" w:rsidP="00000000" w:rsidRDefault="00000000" w:rsidRPr="00000000" w14:paraId="00000075">
      <w:pPr>
        <w:spacing w:after="240" w:before="240" w:line="240" w:lineRule="auto"/>
        <w:rPr/>
      </w:pPr>
      <w:r w:rsidDel="00000000" w:rsidR="00000000" w:rsidRPr="00000000">
        <w:rPr>
          <w:rtl w:val="0"/>
        </w:rPr>
        <w:t xml:space="preserve">Entre los principales activos utilizados se consideran:</w:t>
      </w:r>
    </w:p>
    <w:p w:rsidR="00000000" w:rsidDel="00000000" w:rsidP="00000000" w:rsidRDefault="00000000" w:rsidRPr="00000000" w14:paraId="00000076">
      <w:pPr>
        <w:numPr>
          <w:ilvl w:val="0"/>
          <w:numId w:val="2"/>
        </w:numPr>
        <w:spacing w:after="0" w:afterAutospacing="0" w:before="240" w:line="240" w:lineRule="auto"/>
        <w:ind w:left="720" w:hanging="360"/>
        <w:rPr/>
      </w:pPr>
      <w:r w:rsidDel="00000000" w:rsidR="00000000" w:rsidRPr="00000000">
        <w:rPr>
          <w:rtl w:val="0"/>
        </w:rPr>
        <w:t xml:space="preserve">Acta de Constitución del proyecto GROWDER.</w:t>
      </w:r>
    </w:p>
    <w:p w:rsidR="00000000" w:rsidDel="00000000" w:rsidP="00000000" w:rsidRDefault="00000000" w:rsidRPr="00000000" w14:paraId="00000077">
      <w:pPr>
        <w:numPr>
          <w:ilvl w:val="0"/>
          <w:numId w:val="2"/>
        </w:numPr>
        <w:spacing w:after="0" w:afterAutospacing="0" w:before="0" w:beforeAutospacing="0" w:line="240" w:lineRule="auto"/>
        <w:ind w:left="720" w:hanging="360"/>
        <w:rPr/>
      </w:pPr>
      <w:r w:rsidDel="00000000" w:rsidR="00000000" w:rsidRPr="00000000">
        <w:rPr>
          <w:rtl w:val="0"/>
        </w:rPr>
        <w:t xml:space="preserve">Matriz de Responsabilidad RACI.</w:t>
      </w:r>
    </w:p>
    <w:p w:rsidR="00000000" w:rsidDel="00000000" w:rsidP="00000000" w:rsidRDefault="00000000" w:rsidRPr="00000000" w14:paraId="00000078">
      <w:pPr>
        <w:numPr>
          <w:ilvl w:val="0"/>
          <w:numId w:val="2"/>
        </w:numPr>
        <w:spacing w:after="0" w:afterAutospacing="0" w:before="0" w:beforeAutospacing="0" w:line="240" w:lineRule="auto"/>
        <w:ind w:left="720" w:hanging="360"/>
        <w:rPr/>
      </w:pPr>
      <w:r w:rsidDel="00000000" w:rsidR="00000000" w:rsidRPr="00000000">
        <w:rPr>
          <w:rtl w:val="0"/>
        </w:rPr>
        <w:t xml:space="preserve">Registro y Gestión de Interesados.</w:t>
      </w:r>
    </w:p>
    <w:p w:rsidR="00000000" w:rsidDel="00000000" w:rsidP="00000000" w:rsidRDefault="00000000" w:rsidRPr="00000000" w14:paraId="00000079">
      <w:pPr>
        <w:numPr>
          <w:ilvl w:val="0"/>
          <w:numId w:val="2"/>
        </w:numPr>
        <w:spacing w:after="0" w:afterAutospacing="0" w:before="0" w:beforeAutospacing="0" w:line="240" w:lineRule="auto"/>
        <w:ind w:left="720" w:hanging="360"/>
        <w:rPr/>
      </w:pPr>
      <w:r w:rsidDel="00000000" w:rsidR="00000000" w:rsidRPr="00000000">
        <w:rPr>
          <w:rtl w:val="0"/>
        </w:rPr>
        <w:t xml:space="preserve">Plan de Dirección del Proyecto.</w:t>
      </w:r>
    </w:p>
    <w:p w:rsidR="00000000" w:rsidDel="00000000" w:rsidP="00000000" w:rsidRDefault="00000000" w:rsidRPr="00000000" w14:paraId="0000007A">
      <w:pPr>
        <w:numPr>
          <w:ilvl w:val="0"/>
          <w:numId w:val="2"/>
        </w:numPr>
        <w:spacing w:after="0" w:afterAutospacing="0" w:before="0" w:beforeAutospacing="0" w:line="240" w:lineRule="auto"/>
        <w:ind w:left="720" w:hanging="360"/>
        <w:rPr/>
      </w:pPr>
      <w:r w:rsidDel="00000000" w:rsidR="00000000" w:rsidRPr="00000000">
        <w:rPr>
          <w:rtl w:val="0"/>
        </w:rPr>
        <w:t xml:space="preserve">Documento de Requerimientos de Software.</w:t>
      </w:r>
    </w:p>
    <w:p w:rsidR="00000000" w:rsidDel="00000000" w:rsidP="00000000" w:rsidRDefault="00000000" w:rsidRPr="00000000" w14:paraId="0000007B">
      <w:pPr>
        <w:numPr>
          <w:ilvl w:val="0"/>
          <w:numId w:val="2"/>
        </w:numPr>
        <w:spacing w:after="0" w:afterAutospacing="0" w:before="0" w:beforeAutospacing="0" w:line="240" w:lineRule="auto"/>
        <w:ind w:left="720" w:hanging="360"/>
        <w:rPr/>
      </w:pPr>
      <w:r w:rsidDel="00000000" w:rsidR="00000000" w:rsidRPr="00000000">
        <w:rPr>
          <w:rtl w:val="0"/>
        </w:rPr>
        <w:t xml:space="preserve">Carta Gantt y planificación vigente del proyecto.</w:t>
      </w:r>
    </w:p>
    <w:p w:rsidR="00000000" w:rsidDel="00000000" w:rsidP="00000000" w:rsidRDefault="00000000" w:rsidRPr="00000000" w14:paraId="0000007C">
      <w:pPr>
        <w:numPr>
          <w:ilvl w:val="0"/>
          <w:numId w:val="2"/>
        </w:numPr>
        <w:spacing w:after="0" w:afterAutospacing="0" w:before="0" w:beforeAutospacing="0" w:line="240" w:lineRule="auto"/>
        <w:ind w:left="720" w:hanging="360"/>
        <w:rPr/>
      </w:pPr>
      <w:r w:rsidDel="00000000" w:rsidR="00000000" w:rsidRPr="00000000">
        <w:rPr>
          <w:rtl w:val="0"/>
        </w:rPr>
        <w:t xml:space="preserve">Product Backlog e Historias de Usuario definidas para el MVP.</w:t>
      </w:r>
    </w:p>
    <w:p w:rsidR="00000000" w:rsidDel="00000000" w:rsidP="00000000" w:rsidRDefault="00000000" w:rsidRPr="00000000" w14:paraId="0000007D">
      <w:pPr>
        <w:numPr>
          <w:ilvl w:val="0"/>
          <w:numId w:val="2"/>
        </w:numPr>
        <w:spacing w:after="0" w:afterAutospacing="0" w:before="0" w:beforeAutospacing="0" w:line="240" w:lineRule="auto"/>
        <w:ind w:left="720" w:hanging="360"/>
        <w:rPr/>
      </w:pPr>
      <w:r w:rsidDel="00000000" w:rsidR="00000000" w:rsidRPr="00000000">
        <w:rPr>
          <w:rtl w:val="0"/>
        </w:rPr>
        <w:t xml:space="preserve">Registros de reuniones, acuerdos, observaciones y cambios relevantes.</w:t>
      </w:r>
    </w:p>
    <w:p w:rsidR="00000000" w:rsidDel="00000000" w:rsidP="00000000" w:rsidRDefault="00000000" w:rsidRPr="00000000" w14:paraId="0000007E">
      <w:pPr>
        <w:numPr>
          <w:ilvl w:val="0"/>
          <w:numId w:val="2"/>
        </w:numPr>
        <w:spacing w:after="0" w:afterAutospacing="0" w:before="0" w:beforeAutospacing="0" w:line="240" w:lineRule="auto"/>
        <w:ind w:left="720" w:hanging="360"/>
        <w:rPr/>
      </w:pPr>
      <w:r w:rsidDel="00000000" w:rsidR="00000000" w:rsidRPr="00000000">
        <w:rPr>
          <w:rtl w:val="0"/>
        </w:rPr>
        <w:t xml:space="preserve">Repositorios de código fuente y control de versiones utilizados por el equipo.</w:t>
      </w:r>
    </w:p>
    <w:p w:rsidR="00000000" w:rsidDel="00000000" w:rsidP="00000000" w:rsidRDefault="00000000" w:rsidRPr="00000000" w14:paraId="0000007F">
      <w:pPr>
        <w:numPr>
          <w:ilvl w:val="0"/>
          <w:numId w:val="2"/>
        </w:numPr>
        <w:spacing w:after="0" w:afterAutospacing="0" w:before="0" w:beforeAutospacing="0" w:line="240" w:lineRule="auto"/>
        <w:ind w:left="720" w:hanging="360"/>
        <w:rPr/>
      </w:pPr>
      <w:r w:rsidDel="00000000" w:rsidR="00000000" w:rsidRPr="00000000">
        <w:rPr>
          <w:rtl w:val="0"/>
        </w:rPr>
        <w:t xml:space="preserve">Documentación técnica asociada a arquitectura, base de datos, interfaces, integraciones y pruebas.</w:t>
      </w:r>
    </w:p>
    <w:p w:rsidR="00000000" w:rsidDel="00000000" w:rsidP="00000000" w:rsidRDefault="00000000" w:rsidRPr="00000000" w14:paraId="00000080">
      <w:pPr>
        <w:numPr>
          <w:ilvl w:val="0"/>
          <w:numId w:val="2"/>
        </w:numPr>
        <w:spacing w:after="240" w:before="0" w:beforeAutospacing="0" w:line="240" w:lineRule="auto"/>
        <w:ind w:left="720" w:hanging="360"/>
        <w:rPr/>
      </w:pPr>
      <w:r w:rsidDel="00000000" w:rsidR="00000000" w:rsidRPr="00000000">
        <w:rPr>
          <w:rtl w:val="0"/>
        </w:rPr>
        <w:t xml:space="preserve">Información proporcionada por SuMateCL respecto de productos, inventario, operación y necesidades del negocio.</w:t>
      </w:r>
    </w:p>
    <w:p w:rsidR="00000000" w:rsidDel="00000000" w:rsidP="00000000" w:rsidRDefault="00000000" w:rsidRPr="00000000" w14:paraId="00000081">
      <w:pPr>
        <w:spacing w:after="240" w:before="240" w:line="240" w:lineRule="auto"/>
        <w:rPr/>
      </w:pPr>
      <w:r w:rsidDel="00000000" w:rsidR="00000000" w:rsidRPr="00000000">
        <w:rPr>
          <w:rtl w:val="0"/>
        </w:rPr>
        <w:t xml:space="preserve">Estos activos permiten mantener trazabilidad entre el alcance, los requerimientos, las responsabilidades asignadas y el trabajo desarrollado durante el período académico.</w:t>
      </w:r>
    </w:p>
    <w:p w:rsidR="00000000" w:rsidDel="00000000" w:rsidP="00000000" w:rsidRDefault="00000000" w:rsidRPr="00000000" w14:paraId="00000082">
      <w:pPr>
        <w:spacing w:after="240" w:before="240" w:line="240" w:lineRule="auto"/>
        <w:rPr/>
      </w:pPr>
      <w:r w:rsidDel="00000000" w:rsidR="00000000" w:rsidRPr="00000000">
        <w:rPr>
          <w:rtl w:val="0"/>
        </w:rPr>
        <w:t xml:space="preserve">A medida que avance el proyecto, los documentos y registros podrán actualizarse para reflejar cambios aprobados, nuevas evidencias, resultados de pruebas y decisiones relevantes tomadas durante el desarrollo.</w:t>
      </w:r>
    </w:p>
    <w:p w:rsidR="00000000" w:rsidDel="00000000" w:rsidP="00000000" w:rsidRDefault="00000000" w:rsidRPr="00000000" w14:paraId="00000083">
      <w:pPr>
        <w:spacing w:after="0" w:line="240" w:lineRule="auto"/>
        <w:rPr>
          <w:color w:val="365f91"/>
        </w:rPr>
      </w:pPr>
      <w:r w:rsidDel="00000000" w:rsidR="00000000" w:rsidRPr="00000000">
        <w:rPr>
          <w:rtl w:val="0"/>
        </w:rPr>
      </w:r>
    </w:p>
    <w:p w:rsidR="00000000" w:rsidDel="00000000" w:rsidP="00000000" w:rsidRDefault="00000000" w:rsidRPr="00000000" w14:paraId="00000084">
      <w:pPr>
        <w:spacing w:after="0" w:line="240" w:lineRule="auto"/>
        <w:rPr>
          <w:color w:val="365f91"/>
        </w:rPr>
      </w:pPr>
      <w:r w:rsidDel="00000000" w:rsidR="00000000" w:rsidRPr="00000000">
        <w:rPr>
          <w:rtl w:val="0"/>
        </w:rPr>
      </w:r>
    </w:p>
    <w:p w:rsidR="00000000" w:rsidDel="00000000" w:rsidP="00000000" w:rsidRDefault="00000000" w:rsidRPr="00000000" w14:paraId="00000085">
      <w:pPr>
        <w:spacing w:after="0" w:line="240" w:lineRule="auto"/>
        <w:rPr>
          <w:color w:val="365f91"/>
        </w:rPr>
      </w:pPr>
      <w:r w:rsidDel="00000000" w:rsidR="00000000" w:rsidRPr="00000000">
        <w:rPr>
          <w:rtl w:val="0"/>
        </w:rPr>
      </w:r>
    </w:p>
    <w:p w:rsidR="00000000" w:rsidDel="00000000" w:rsidP="00000000" w:rsidRDefault="00000000" w:rsidRPr="00000000" w14:paraId="00000086">
      <w:pPr>
        <w:spacing w:after="0" w:line="240" w:lineRule="auto"/>
        <w:rPr>
          <w:color w:val="365f91"/>
        </w:rPr>
      </w:pPr>
      <w:r w:rsidDel="00000000" w:rsidR="00000000" w:rsidRPr="00000000">
        <w:rPr>
          <w:rtl w:val="0"/>
        </w:rPr>
      </w:r>
    </w:p>
    <w:p w:rsidR="00000000" w:rsidDel="00000000" w:rsidP="00000000" w:rsidRDefault="00000000" w:rsidRPr="00000000" w14:paraId="00000087">
      <w:pPr>
        <w:spacing w:after="0" w:line="240" w:lineRule="auto"/>
        <w:rPr>
          <w:color w:val="365f91"/>
        </w:rPr>
      </w:pPr>
      <w:r w:rsidDel="00000000" w:rsidR="00000000" w:rsidRPr="00000000">
        <w:rPr>
          <w:rtl w:val="0"/>
        </w:rPr>
      </w:r>
    </w:p>
    <w:p w:rsidR="00000000" w:rsidDel="00000000" w:rsidP="00000000" w:rsidRDefault="00000000" w:rsidRPr="00000000" w14:paraId="00000088">
      <w:pPr>
        <w:spacing w:after="0" w:line="240" w:lineRule="auto"/>
        <w:rPr>
          <w:color w:val="365f91"/>
        </w:rPr>
      </w:pPr>
      <w:r w:rsidDel="00000000" w:rsidR="00000000" w:rsidRPr="00000000">
        <w:rPr>
          <w:rtl w:val="0"/>
        </w:rPr>
      </w:r>
    </w:p>
    <w:p w:rsidR="00000000" w:rsidDel="00000000" w:rsidP="00000000" w:rsidRDefault="00000000" w:rsidRPr="00000000" w14:paraId="00000089">
      <w:pPr>
        <w:spacing w:after="0" w:line="240" w:lineRule="auto"/>
        <w:rPr>
          <w:color w:val="365f91"/>
        </w:rPr>
      </w:pPr>
      <w:r w:rsidDel="00000000" w:rsidR="00000000" w:rsidRPr="00000000">
        <w:rPr>
          <w:rtl w:val="0"/>
        </w:rPr>
      </w:r>
    </w:p>
    <w:p w:rsidR="00000000" w:rsidDel="00000000" w:rsidP="00000000" w:rsidRDefault="00000000" w:rsidRPr="00000000" w14:paraId="0000008A">
      <w:pPr>
        <w:pStyle w:val="Heading2"/>
        <w:keepNext w:val="0"/>
        <w:keepLines w:val="0"/>
        <w:spacing w:line="240" w:lineRule="auto"/>
        <w:rPr>
          <w:color w:val="365f91"/>
          <w:sz w:val="34"/>
          <w:szCs w:val="34"/>
        </w:rPr>
      </w:pPr>
      <w:bookmarkStart w:colFirst="0" w:colLast="0" w:name="_heading=h.ri7ueeovqklf" w:id="4"/>
      <w:bookmarkEnd w:id="4"/>
      <w:r w:rsidDel="00000000" w:rsidR="00000000" w:rsidRPr="00000000">
        <w:rPr>
          <w:color w:val="365f91"/>
          <w:sz w:val="34"/>
          <w:szCs w:val="34"/>
          <w:rtl w:val="0"/>
        </w:rPr>
        <w:t xml:space="preserve">4. Factores ambientales de la empresa</w:t>
      </w:r>
    </w:p>
    <w:p w:rsidR="00000000" w:rsidDel="00000000" w:rsidP="00000000" w:rsidRDefault="00000000" w:rsidRPr="00000000" w14:paraId="0000008B">
      <w:pPr>
        <w:spacing w:after="240" w:before="240" w:line="240" w:lineRule="auto"/>
        <w:rPr>
          <w:b w:val="1"/>
          <w:bCs w:val="1"/>
          <w:color w:val="365f91"/>
        </w:rPr>
      </w:pPr>
      <w:r w:rsidDel="00000000" w:rsidR="00000000" w:rsidRPr="00000000">
        <w:rPr>
          <w:rtl w:val="0"/>
        </w:rPr>
      </w:r>
    </w:p>
    <w:p w:rsidR="00000000" w:rsidDel="00000000" w:rsidP="00000000" w:rsidRDefault="00000000" w:rsidRPr="00000000" w14:paraId="0000008C">
      <w:pPr>
        <w:spacing w:after="240" w:before="240" w:line="240" w:lineRule="auto"/>
        <w:rPr/>
      </w:pPr>
      <w:r w:rsidDel="00000000" w:rsidR="00000000" w:rsidRPr="00000000">
        <w:rPr>
          <w:rtl w:val="0"/>
        </w:rPr>
        <w:t xml:space="preserve">Los factores ambientales considerados para el proyecto GROWDER corresponden a condiciones internas y externas que pueden influir en su planificación, desarrollo y validación, pero que no dependen completamente del equipo de proyecto.</w:t>
      </w:r>
    </w:p>
    <w:p w:rsidR="00000000" w:rsidDel="00000000" w:rsidP="00000000" w:rsidRDefault="00000000" w:rsidRPr="00000000" w14:paraId="0000008D">
      <w:pPr>
        <w:spacing w:after="240" w:before="240" w:line="240" w:lineRule="auto"/>
        <w:rPr/>
      </w:pPr>
      <w:r w:rsidDel="00000000" w:rsidR="00000000" w:rsidRPr="00000000">
        <w:rPr>
          <w:rtl w:val="0"/>
        </w:rPr>
        <w:t xml:space="preserve">Entre los principales factores identificados se encuentran:</w:t>
      </w:r>
    </w:p>
    <w:p w:rsidR="00000000" w:rsidDel="00000000" w:rsidP="00000000" w:rsidRDefault="00000000" w:rsidRPr="00000000" w14:paraId="0000008E">
      <w:pPr>
        <w:numPr>
          <w:ilvl w:val="0"/>
          <w:numId w:val="1"/>
        </w:numPr>
        <w:spacing w:after="0" w:afterAutospacing="0" w:before="240" w:line="240" w:lineRule="auto"/>
        <w:ind w:left="720" w:hanging="360"/>
        <w:rPr/>
      </w:pPr>
      <w:r w:rsidDel="00000000" w:rsidR="00000000" w:rsidRPr="00000000">
        <w:rPr>
          <w:b w:val="1"/>
          <w:bCs w:val="1"/>
          <w:rtl w:val="0"/>
        </w:rPr>
        <w:t xml:space="preserve">Período académico:</w:t>
      </w:r>
      <w:r w:rsidDel="00000000" w:rsidR="00000000" w:rsidRPr="00000000">
        <w:rPr>
          <w:rtl w:val="0"/>
        </w:rPr>
        <w:t xml:space="preserve"> El proyecto debe desarrollarse dentro del período comprendido entre el 13 de agosto y el 26 de noviembre de 2026, considerando aproximadamente 14 semanas efectivas de trabajo.</w:t>
      </w:r>
    </w:p>
    <w:p w:rsidR="00000000" w:rsidDel="00000000" w:rsidP="00000000" w:rsidRDefault="00000000" w:rsidRPr="00000000" w14:paraId="0000008F">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Disponibilidad del mandante:</w:t>
      </w:r>
      <w:r w:rsidDel="00000000" w:rsidR="00000000" w:rsidRPr="00000000">
        <w:rPr>
          <w:rtl w:val="0"/>
        </w:rPr>
        <w:t xml:space="preserve"> La obtención de información, resolución de dudas y validación de determinadas decisiones puede depender de la disponibilidad de representantes de SuMateCL.</w:t>
      </w:r>
    </w:p>
    <w:p w:rsidR="00000000" w:rsidDel="00000000" w:rsidP="00000000" w:rsidRDefault="00000000" w:rsidRPr="00000000" w14:paraId="00000090">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Disponibilidad de servicios Cloud:</w:t>
      </w:r>
      <w:r w:rsidDel="00000000" w:rsidR="00000000" w:rsidRPr="00000000">
        <w:rPr>
          <w:rtl w:val="0"/>
        </w:rPr>
        <w:t xml:space="preserve"> El proyecto utiliza servicios como Supabase y Vercel, cuya disponibilidad, límites de uso y condiciones de los planes gratuitos dependen de proveedores externos.</w:t>
      </w:r>
    </w:p>
    <w:p w:rsidR="00000000" w:rsidDel="00000000" w:rsidP="00000000" w:rsidRDefault="00000000" w:rsidRPr="00000000" w14:paraId="00000091">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Conectividad a Internet:</w:t>
      </w:r>
      <w:r w:rsidDel="00000000" w:rsidR="00000000" w:rsidRPr="00000000">
        <w:rPr>
          <w:rtl w:val="0"/>
        </w:rPr>
        <w:t xml:space="preserve"> Las principales funcionalidades de GROWDER requieren acceso a Internet para utilizar los servicios centralizados de autenticación, base de datos, almacenamiento y demás integraciones.</w:t>
      </w:r>
    </w:p>
    <w:p w:rsidR="00000000" w:rsidDel="00000000" w:rsidP="00000000" w:rsidRDefault="00000000" w:rsidRPr="00000000" w14:paraId="00000092">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Ambientes Sandbox:</w:t>
      </w:r>
      <w:r w:rsidDel="00000000" w:rsidR="00000000" w:rsidRPr="00000000">
        <w:rPr>
          <w:rtl w:val="0"/>
        </w:rPr>
        <w:t xml:space="preserve"> La simulación del proceso de pago depende de la disponibilidad y funcionamiento de los ambientes de prueba proporcionados por Webpay Plus y/o Mercado Pago.</w:t>
      </w:r>
    </w:p>
    <w:p w:rsidR="00000000" w:rsidDel="00000000" w:rsidP="00000000" w:rsidRDefault="00000000" w:rsidRPr="00000000" w14:paraId="00000093">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Plataforma móvil:</w:t>
      </w:r>
      <w:r w:rsidDel="00000000" w:rsidR="00000000" w:rsidRPr="00000000">
        <w:rPr>
          <w:rtl w:val="0"/>
        </w:rPr>
        <w:t xml:space="preserve"> El desarrollo de la aplicación está orientado a dispositivos Android disponibles para las pruebas del proyecto.</w:t>
      </w:r>
    </w:p>
    <w:p w:rsidR="00000000" w:rsidDel="00000000" w:rsidP="00000000" w:rsidRDefault="00000000" w:rsidRPr="00000000" w14:paraId="00000094">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Recursos tecnológicos del equipo:</w:t>
      </w:r>
      <w:r w:rsidDel="00000000" w:rsidR="00000000" w:rsidRPr="00000000">
        <w:rPr>
          <w:rtl w:val="0"/>
        </w:rPr>
        <w:t xml:space="preserve"> El desarrollo y las pruebas dependen de los computadores, dispositivos móviles, software y herramientas disponibles para los integrantes del equipo.</w:t>
      </w:r>
    </w:p>
    <w:p w:rsidR="00000000" w:rsidDel="00000000" w:rsidP="00000000" w:rsidRDefault="00000000" w:rsidRPr="00000000" w14:paraId="00000095">
      <w:pPr>
        <w:numPr>
          <w:ilvl w:val="0"/>
          <w:numId w:val="1"/>
        </w:numPr>
        <w:spacing w:after="240" w:before="0" w:beforeAutospacing="0" w:line="240" w:lineRule="auto"/>
        <w:ind w:left="720" w:hanging="360"/>
        <w:rPr/>
      </w:pPr>
      <w:r w:rsidDel="00000000" w:rsidR="00000000" w:rsidRPr="00000000">
        <w:rPr>
          <w:b w:val="1"/>
          <w:bCs w:val="1"/>
          <w:rtl w:val="0"/>
        </w:rPr>
        <w:t xml:space="preserve">Restricciones del MVP:</w:t>
      </w:r>
      <w:r w:rsidDel="00000000" w:rsidR="00000000" w:rsidRPr="00000000">
        <w:rPr>
          <w:rtl w:val="0"/>
        </w:rPr>
        <w:t xml:space="preserve"> Debido al tiempo y recursos disponibles, se priorizan las funcionalidades definidas como esenciales, dejando fuera integraciones productivas, iOS, pagos reales y conexión automática con empresas de courier.</w:t>
      </w:r>
    </w:p>
    <w:p w:rsidR="00000000" w:rsidDel="00000000" w:rsidP="00000000" w:rsidRDefault="00000000" w:rsidRPr="00000000" w14:paraId="00000096">
      <w:pPr>
        <w:spacing w:after="240" w:before="240" w:line="240" w:lineRule="auto"/>
        <w:rPr/>
      </w:pPr>
      <w:r w:rsidDel="00000000" w:rsidR="00000000" w:rsidRPr="00000000">
        <w:rPr>
          <w:rtl w:val="0"/>
        </w:rPr>
        <w:t xml:space="preserve">Estos factores deberán considerarse durante el seguimiento del proyecto, ya que pueden afectar el cronograma, las pruebas, la integración de componentes o la disponibilidad de determinadas funcionalidades durante la demostración.</w:t>
      </w:r>
    </w:p>
    <w:p w:rsidR="00000000" w:rsidDel="00000000" w:rsidP="00000000" w:rsidRDefault="00000000" w:rsidRPr="00000000" w14:paraId="00000097">
      <w:pPr>
        <w:spacing w:after="240" w:before="240" w:line="240" w:lineRule="auto"/>
        <w:rPr/>
      </w:pPr>
      <w:r w:rsidDel="00000000" w:rsidR="00000000" w:rsidRPr="00000000">
        <w:rPr>
          <w:rtl w:val="0"/>
        </w:rPr>
      </w:r>
    </w:p>
    <w:p w:rsidR="00000000" w:rsidDel="00000000" w:rsidP="00000000" w:rsidRDefault="00000000" w:rsidRPr="00000000" w14:paraId="00000098">
      <w:pPr>
        <w:spacing w:after="240" w:before="240" w:line="240" w:lineRule="auto"/>
        <w:rPr/>
      </w:pPr>
      <w:r w:rsidDel="00000000" w:rsidR="00000000" w:rsidRPr="00000000">
        <w:rPr>
          <w:rtl w:val="0"/>
        </w:rPr>
      </w:r>
    </w:p>
    <w:p w:rsidR="00000000" w:rsidDel="00000000" w:rsidP="00000000" w:rsidRDefault="00000000" w:rsidRPr="00000000" w14:paraId="00000099">
      <w:pPr>
        <w:spacing w:after="240" w:before="240" w:line="240" w:lineRule="auto"/>
        <w:rPr/>
      </w:pPr>
      <w:r w:rsidDel="00000000" w:rsidR="00000000" w:rsidRPr="00000000">
        <w:rPr>
          <w:rtl w:val="0"/>
        </w:rPr>
      </w:r>
    </w:p>
    <w:p w:rsidR="00000000" w:rsidDel="00000000" w:rsidP="00000000" w:rsidRDefault="00000000" w:rsidRPr="00000000" w14:paraId="0000009A">
      <w:pPr>
        <w:spacing w:after="240" w:before="240" w:line="240" w:lineRule="auto"/>
        <w:rPr/>
      </w:pPr>
      <w:r w:rsidDel="00000000" w:rsidR="00000000" w:rsidRPr="00000000">
        <w:rPr>
          <w:rtl w:val="0"/>
        </w:rPr>
      </w:r>
    </w:p>
    <w:p w:rsidR="00000000" w:rsidDel="00000000" w:rsidP="00000000" w:rsidRDefault="00000000" w:rsidRPr="00000000" w14:paraId="0000009B">
      <w:pPr>
        <w:pStyle w:val="Heading2"/>
        <w:keepNext w:val="0"/>
        <w:keepLines w:val="0"/>
        <w:spacing w:line="240" w:lineRule="auto"/>
        <w:rPr>
          <w:sz w:val="34"/>
          <w:szCs w:val="34"/>
        </w:rPr>
      </w:pPr>
      <w:bookmarkStart w:colFirst="0" w:colLast="0" w:name="_heading=h.un5k593a7r3r" w:id="5"/>
      <w:bookmarkEnd w:id="5"/>
      <w:r w:rsidDel="00000000" w:rsidR="00000000" w:rsidRPr="00000000">
        <w:rPr>
          <w:rtl w:val="0"/>
        </w:rPr>
      </w:r>
    </w:p>
    <w:p w:rsidR="00000000" w:rsidDel="00000000" w:rsidP="00000000" w:rsidRDefault="00000000" w:rsidRPr="00000000" w14:paraId="0000009C">
      <w:pPr>
        <w:pStyle w:val="Heading2"/>
        <w:keepNext w:val="0"/>
        <w:keepLines w:val="0"/>
        <w:spacing w:line="240" w:lineRule="auto"/>
        <w:rPr>
          <w:sz w:val="34"/>
          <w:szCs w:val="34"/>
        </w:rPr>
      </w:pPr>
      <w:bookmarkStart w:colFirst="0" w:colLast="0" w:name="_heading=h.85ghx5txrf5v" w:id="6"/>
      <w:bookmarkEnd w:id="6"/>
      <w:r w:rsidDel="00000000" w:rsidR="00000000" w:rsidRPr="00000000">
        <w:rPr>
          <w:rtl w:val="0"/>
        </w:rPr>
      </w:r>
    </w:p>
    <w:p w:rsidR="00000000" w:rsidDel="00000000" w:rsidP="00000000" w:rsidRDefault="00000000" w:rsidRPr="00000000" w14:paraId="0000009D">
      <w:pPr>
        <w:pStyle w:val="Heading2"/>
        <w:keepNext w:val="0"/>
        <w:keepLines w:val="0"/>
        <w:spacing w:line="240" w:lineRule="auto"/>
        <w:rPr>
          <w:sz w:val="34"/>
          <w:szCs w:val="34"/>
        </w:rPr>
      </w:pPr>
      <w:bookmarkStart w:colFirst="0" w:colLast="0" w:name="_heading=h.qc46f7ktyocj" w:id="7"/>
      <w:bookmarkEnd w:id="7"/>
      <w:r w:rsidDel="00000000" w:rsidR="00000000" w:rsidRPr="00000000">
        <w:rPr>
          <w:sz w:val="34"/>
          <w:szCs w:val="34"/>
          <w:rtl w:val="0"/>
        </w:rPr>
        <w:t xml:space="preserve">5. Estándar para la dirección de proyectos</w:t>
      </w:r>
    </w:p>
    <w:p w:rsidR="00000000" w:rsidDel="00000000" w:rsidP="00000000" w:rsidRDefault="00000000" w:rsidRPr="00000000" w14:paraId="0000009E">
      <w:pPr>
        <w:spacing w:after="240" w:before="240" w:line="240" w:lineRule="auto"/>
        <w:rPr>
          <w:b w:val="1"/>
          <w:bCs w:val="1"/>
        </w:rPr>
      </w:pPr>
      <w:r w:rsidDel="00000000" w:rsidR="00000000" w:rsidRPr="00000000">
        <w:rPr>
          <w:rtl w:val="0"/>
        </w:rPr>
      </w:r>
    </w:p>
    <w:p w:rsidR="00000000" w:rsidDel="00000000" w:rsidP="00000000" w:rsidRDefault="00000000" w:rsidRPr="00000000" w14:paraId="0000009F">
      <w:pPr>
        <w:spacing w:after="240" w:before="240" w:line="240" w:lineRule="auto"/>
        <w:rPr/>
      </w:pPr>
      <w:r w:rsidDel="00000000" w:rsidR="00000000" w:rsidRPr="00000000">
        <w:rPr>
          <w:rtl w:val="0"/>
        </w:rPr>
        <w:t xml:space="preserve">La gestión del proyecto GROWDER se desarrollará utilizando como referencia buenas prácticas de dirección de proyectos y un enfoque ágil e iterativo adaptado al contexto académico del Portafolio de Título.</w:t>
      </w:r>
    </w:p>
    <w:p w:rsidR="00000000" w:rsidDel="00000000" w:rsidP="00000000" w:rsidRDefault="00000000" w:rsidRPr="00000000" w14:paraId="000000A0">
      <w:pPr>
        <w:spacing w:after="240" w:before="240" w:line="240" w:lineRule="auto"/>
        <w:rPr/>
      </w:pPr>
      <w:r w:rsidDel="00000000" w:rsidR="00000000" w:rsidRPr="00000000">
        <w:rPr>
          <w:rtl w:val="0"/>
        </w:rPr>
        <w:t xml:space="preserve">Para la planificación y control del proyecto se consideran elementos asociados a la gestión del alcance, cronograma, costos, calidad, recursos, comunicaciones, riesgos, adquisiciones, interesados y control de cambios. Estos aspectos se documentan mediante los distintos instrumentos definidos para GROWDER, tales como el Acta de Constitución, Plan de Dirección del Proyecto, Matriz RACI, Gestión de Interesados, Documento de Requerimientos de Software, Carta Gantt y demás documentos de seguimiento.</w:t>
      </w:r>
    </w:p>
    <w:p w:rsidR="00000000" w:rsidDel="00000000" w:rsidP="00000000" w:rsidRDefault="00000000" w:rsidRPr="00000000" w14:paraId="000000A1">
      <w:pPr>
        <w:spacing w:after="240" w:before="240" w:line="240" w:lineRule="auto"/>
        <w:rPr/>
      </w:pPr>
      <w:r w:rsidDel="00000000" w:rsidR="00000000" w:rsidRPr="00000000">
        <w:rPr>
          <w:rtl w:val="0"/>
        </w:rPr>
        <w:t xml:space="preserve">En cuanto al desarrollo de software, el equipo utilizará prácticas ágiles como referencia para organizar las funcionalidades priorizadas, distribuir el trabajo, revisar avances y realizar ajustes durante el proyecto. Las Historias de Usuario y los requerimientos definidos para el MVP servirán como base para orientar el desarrollo y las pruebas de la solución.</w:t>
      </w:r>
    </w:p>
    <w:p w:rsidR="00000000" w:rsidDel="00000000" w:rsidP="00000000" w:rsidRDefault="00000000" w:rsidRPr="00000000" w14:paraId="000000A2">
      <w:pPr>
        <w:spacing w:after="240" w:before="240" w:line="240" w:lineRule="auto"/>
        <w:rPr/>
      </w:pPr>
      <w:r w:rsidDel="00000000" w:rsidR="00000000" w:rsidRPr="00000000">
        <w:rPr>
          <w:rtl w:val="0"/>
        </w:rPr>
        <w:t xml:space="preserve">La aplicación de estas prácticas será adaptada a las características, recursos y duración del proyecto, sin requerir la implementación estricta de todas las actividades o ceremonias asociadas a un marco metodológico específico.</w:t>
      </w:r>
    </w:p>
    <w:p w:rsidR="00000000" w:rsidDel="00000000" w:rsidP="00000000" w:rsidRDefault="00000000" w:rsidRPr="00000000" w14:paraId="000000A3">
      <w:pPr>
        <w:spacing w:after="240" w:before="240" w:line="240" w:lineRule="auto"/>
        <w:rPr/>
      </w:pPr>
      <w:r w:rsidDel="00000000" w:rsidR="00000000" w:rsidRPr="00000000">
        <w:rPr>
          <w:rtl w:val="0"/>
        </w:rPr>
      </w:r>
    </w:p>
    <w:p w:rsidR="00000000" w:rsidDel="00000000" w:rsidP="00000000" w:rsidRDefault="00000000" w:rsidRPr="00000000" w14:paraId="000000A4">
      <w:pPr>
        <w:spacing w:after="0" w:line="240" w:lineRule="auto"/>
        <w:rPr>
          <w:color w:val="365f91"/>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S5tbGr2bJYA1gzMsDmrK/u3Iw==">CgMxLjAyDmguZG0wZTRuazltcHJvMg1oLjVuZTJ2d3VxZXZ0Mg5oLmFteGFscDVxdDJvZjIOaC5jeHlnOHg3b2FtYnMyDmgucmk3dWVlb3Zxa2xmMg5oLnVuNWs1OTNhN3IzcjIOaC44NWdoeDV0eHJmNXYyDmgucWM0NmY3a3R5b2NqOAByITFIWVpTcEMtT3hDYXhMLWJHbExHbnVDUnRmY3d2VGhldw==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