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posOffset>176530</wp:posOffset>
                </wp:positionH>
                <wp:positionV relativeFrom="page">
                  <wp:posOffset>182880</wp:posOffset>
                </wp:positionV>
                <wp:extent cx="7620" cy="12139930"/>
                <wp:effectExtent b="0" l="0" r="0" t="0"/>
                <wp:wrapNone/>
                <wp:docPr id="6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5342190" y="0"/>
                          <a:ext cx="7620" cy="7560000"/>
                        </a:xfrm>
                        <a:prstGeom prst="rect">
                          <a:avLst/>
                        </a:prstGeom>
                        <a:solidFill>
                          <a:srgbClr val="E9EDF8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posOffset>176530</wp:posOffset>
                </wp:positionH>
                <wp:positionV relativeFrom="page">
                  <wp:posOffset>182880</wp:posOffset>
                </wp:positionV>
                <wp:extent cx="7620" cy="12139930"/>
                <wp:effectExtent b="0" l="0" r="0" t="0"/>
                <wp:wrapNone/>
                <wp:docPr id="6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620" cy="1213993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" w:before="8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73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Title"/>
        <w:spacing w:line="946" w:lineRule="auto"/>
        <w:ind w:firstLine="3950"/>
        <w:rPr/>
      </w:pPr>
      <w:r w:rsidDel="00000000" w:rsidR="00000000" w:rsidRPr="00000000">
        <w:rPr>
          <w:rtl w:val="0"/>
        </w:rPr>
        <w:t xml:space="preserve">Plan de Gestión de la</w:t>
      </w:r>
    </w:p>
    <w:p w:rsidR="00000000" w:rsidDel="00000000" w:rsidP="00000000" w:rsidRDefault="00000000" w:rsidRPr="00000000" w14:paraId="00000016">
      <w:pPr>
        <w:pStyle w:val="Title"/>
        <w:spacing w:before="5" w:lineRule="auto"/>
        <w:ind w:left="4246" w:firstLine="0"/>
        <w:rPr/>
      </w:pPr>
      <w:r w:rsidDel="00000000" w:rsidR="00000000" w:rsidRPr="00000000">
        <w:rPr>
          <w:rtl w:val="0"/>
        </w:rPr>
        <w:t xml:space="preserve">Calidad del Proyecto</w:t>
      </w:r>
    </w:p>
    <w:p w:rsidR="00000000" w:rsidDel="00000000" w:rsidP="00000000" w:rsidRDefault="00000000" w:rsidRPr="00000000" w14:paraId="00000017">
      <w:pPr>
        <w:spacing w:before="585" w:lineRule="auto"/>
        <w:ind w:left="8734" w:firstLine="0"/>
        <w:rPr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color w:val="595959"/>
          <w:rtl w:val="0"/>
        </w:rPr>
        <w:t xml:space="preserve">Versión 1.0 ● 14/09/2026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before="237" w:lineRule="auto"/>
        <w:ind w:left="163" w:right="412" w:firstLine="0"/>
        <w:jc w:val="center"/>
        <w:rPr>
          <w:sz w:val="50"/>
          <w:szCs w:val="5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4e78"/>
          <w:sz w:val="32"/>
          <w:szCs w:val="32"/>
          <w:rtl w:val="0"/>
        </w:rPr>
        <w:t xml:space="preserve">GROWDER: Ecosistema Omnicanal para SuMateCL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41" w:rightFromText="141" w:topFromText="0" w:bottomFromText="0" w:vertAnchor="text" w:horzAnchor="text" w:tblpX="3009" w:tblpY="110"/>
        <w:tblW w:w="8342.0" w:type="dxa"/>
        <w:jc w:val="left"/>
        <w:tblBorders>
          <w:top w:color="95b3d7" w:space="0" w:sz="4" w:val="single"/>
          <w:left w:color="95b3d7" w:space="0" w:sz="4" w:val="single"/>
          <w:bottom w:color="95b3d7" w:space="0" w:sz="4" w:val="single"/>
          <w:right w:color="95b3d7" w:space="0" w:sz="4" w:val="single"/>
          <w:insideH w:color="95b3d7" w:space="0" w:sz="4" w:val="single"/>
          <w:insideV w:color="95b3d7" w:space="0" w:sz="4" w:val="single"/>
        </w:tblBorders>
        <w:tblLayout w:type="fixed"/>
        <w:tblLook w:val="04A0"/>
      </w:tblPr>
      <w:tblGrid>
        <w:gridCol w:w="4171"/>
        <w:gridCol w:w="4171"/>
        <w:tblGridChange w:id="0">
          <w:tblGrid>
            <w:gridCol w:w="4171"/>
            <w:gridCol w:w="4171"/>
          </w:tblGrid>
        </w:tblGridChange>
      </w:tblGrid>
      <w:tr>
        <w:trPr>
          <w:cantSplit w:val="0"/>
          <w:trHeight w:val="338" w:hRule="atLeast"/>
          <w:tblHeader w:val="0"/>
        </w:trPr>
        <w:tc>
          <w:tcPr/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Nombre del Proyecto</w:t>
            </w:r>
          </w:p>
        </w:tc>
        <w:tc>
          <w:tcPr/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GROWDER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8" w:hRule="atLeast"/>
          <w:tblHeader w:val="0"/>
        </w:trPr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Preparado Por</w:t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Ignacio Manriquez, Bryan Silva, Matias Medina y Matias Rios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8" w:hRule="atLeast"/>
          <w:tblHeader w:val="0"/>
        </w:trPr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Fecha (mm/dd/yyyy)</w:t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14 / 09 / 2026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pPr w:leftFromText="141" w:rightFromText="141" w:topFromText="0" w:bottomFromText="0" w:vertAnchor="text" w:horzAnchor="text" w:tblpX="2970.4999999999995" w:tblpY="0"/>
        <w:tblW w:w="8419.0" w:type="dxa"/>
        <w:jc w:val="left"/>
        <w:tblBorders>
          <w:top w:color="95b3d7" w:space="0" w:sz="4" w:val="single"/>
          <w:left w:color="95b3d7" w:space="0" w:sz="4" w:val="single"/>
          <w:bottom w:color="95b3d7" w:space="0" w:sz="4" w:val="single"/>
          <w:right w:color="95b3d7" w:space="0" w:sz="4" w:val="single"/>
          <w:insideH w:color="95b3d7" w:space="0" w:sz="4" w:val="single"/>
          <w:insideV w:color="95b3d7" w:space="0" w:sz="4" w:val="single"/>
        </w:tblBorders>
        <w:tblLayout w:type="fixed"/>
        <w:tblLook w:val="04A0"/>
      </w:tblPr>
      <w:tblGrid>
        <w:gridCol w:w="2806"/>
        <w:gridCol w:w="2806"/>
        <w:gridCol w:w="2807"/>
        <w:tblGridChange w:id="0">
          <w:tblGrid>
            <w:gridCol w:w="2806"/>
            <w:gridCol w:w="2806"/>
            <w:gridCol w:w="2807"/>
          </w:tblGrid>
        </w:tblGridChange>
      </w:tblGrid>
      <w:tr>
        <w:trPr>
          <w:cantSplit w:val="0"/>
          <w:trHeight w:val="252" w:hRule="atLeast"/>
          <w:tblHeader w:val="0"/>
        </w:trPr>
        <w:tc>
          <w:tcPr/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Versión</w:t>
            </w:r>
          </w:p>
        </w:tc>
        <w:tc>
          <w:tcPr/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Fecha (dd</w:t>
            </w: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/mm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/yyyy)</w:t>
            </w:r>
          </w:p>
        </w:tc>
        <w:tc>
          <w:tcPr/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252" w:hRule="atLeast"/>
          <w:tblHeader w:val="0"/>
        </w:trPr>
        <w:tc>
          <w:tcPr/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1.0</w:t>
            </w:r>
          </w:p>
        </w:tc>
        <w:tc>
          <w:tcPr/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14/09/2026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spacing w:after="60" w:line="276" w:lineRule="auto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Versión inicial del Plan de Gestión de Calidad para el ecosistema GROWDER (Fases 1 y 2). Define estándares de calidad de software, arquitectura omnicanal y métricas clave.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2" w:hRule="atLeast"/>
          <w:tblHeader w:val="0"/>
        </w:trPr>
        <w:tc>
          <w:tcPr/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sectPr>
          <w:headerReference r:id="rId8" w:type="default"/>
          <w:pgSz w:h="20140" w:w="15560" w:orient="portrait"/>
          <w:pgMar w:bottom="280" w:top="1720" w:left="740" w:right="460" w:header="1191" w:footer="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Plan de Gestión de Calidad del Proyecto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pPr w:leftFromText="141" w:rightFromText="141" w:topFromText="0" w:bottomFromText="0" w:vertAnchor="text" w:horzAnchor="text" w:tblpX="3388" w:tblpY="17"/>
        <w:tblW w:w="8676.0" w:type="dxa"/>
        <w:jc w:val="left"/>
        <w:tblBorders>
          <w:top w:color="4f81bd" w:space="0" w:sz="4" w:val="single"/>
          <w:left w:color="4f81bd" w:space="0" w:sz="4" w:val="single"/>
          <w:bottom w:color="4f81bd" w:space="0" w:sz="4" w:val="single"/>
          <w:right w:color="4f81bd" w:space="0" w:sz="4" w:val="single"/>
        </w:tblBorders>
        <w:tblLayout w:type="fixed"/>
        <w:tblLook w:val="04A0"/>
      </w:tblPr>
      <w:tblGrid>
        <w:gridCol w:w="8676"/>
        <w:tblGridChange w:id="0">
          <w:tblGrid>
            <w:gridCol w:w="8676"/>
          </w:tblGrid>
        </w:tblGridChange>
      </w:tblGrid>
      <w:tr>
        <w:trPr>
          <w:cantSplit w:val="0"/>
          <w:trHeight w:val="410" w:hRule="atLeast"/>
          <w:tblHeader w:val="0"/>
        </w:trPr>
        <w:tc>
          <w:tcPr/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Expectativas de la Calidad del Proyecto de acuerdo al cliente</w:t>
            </w:r>
          </w:p>
        </w:tc>
      </w:tr>
      <w:tr>
        <w:trPr>
          <w:cantSplit w:val="0"/>
          <w:trHeight w:val="410" w:hRule="atLeast"/>
          <w:tblHeader w:val="0"/>
        </w:trPr>
        <w:tc>
          <w:tcPr/>
          <w:p w:rsidR="00000000" w:rsidDel="00000000" w:rsidP="00000000" w:rsidRDefault="00000000" w:rsidRPr="00000000" w14:paraId="0000004B">
            <w:pPr>
              <w:pStyle w:val="Heading3"/>
              <w:keepNext w:val="0"/>
              <w:keepLines w:val="0"/>
              <w:rPr>
                <w:sz w:val="26"/>
                <w:szCs w:val="26"/>
              </w:rPr>
            </w:pPr>
            <w:bookmarkStart w:colFirst="0" w:colLast="0" w:name="_heading=h.pjt7xm9yhayr" w:id="0"/>
            <w:bookmarkEnd w:id="0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spacing w:after="240" w:before="240" w:lineRule="auto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El proyecto GROWDER busca entregar a SuMateCL una solución funcional, segura y fácil de utilizar que permita centralizar la información asociada a productos, inventario, usuarios y pedidos mediante una plataforma Web y una aplicación móvil Android.</w:t>
            </w:r>
          </w:p>
          <w:p w:rsidR="00000000" w:rsidDel="00000000" w:rsidP="00000000" w:rsidRDefault="00000000" w:rsidRPr="00000000" w14:paraId="0000004D">
            <w:pPr>
              <w:spacing w:after="240" w:before="240" w:lineRule="auto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Las expectativas de calidad se establecen de acuerdo con el alcance del MVP y con los requerimientos funcionales y no funcionales definidos para el proyecto. La evaluación se realizará principalmente durante las pruebas y la demostración académica.</w:t>
            </w:r>
          </w:p>
          <w:p w:rsidR="00000000" w:rsidDel="00000000" w:rsidP="00000000" w:rsidRDefault="00000000" w:rsidRPr="00000000" w14:paraId="0000004E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1.1 Seguridad y control de acceso</w:t>
            </w:r>
          </w:p>
          <w:p w:rsidR="00000000" w:rsidDel="00000000" w:rsidP="00000000" w:rsidRDefault="00000000" w:rsidRPr="00000000" w14:paraId="0000004F">
            <w:pPr>
              <w:spacing w:after="240" w:before="240" w:lineRule="auto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El sistema deberá contar con mecanismos de autenticación y control de acceso según los roles definidos para el proyecto. Los usuarios solo podrán consultar o modificar información y funcionalidades que correspondan a sus permisos.</w:t>
            </w:r>
          </w:p>
          <w:p w:rsidR="00000000" w:rsidDel="00000000" w:rsidP="00000000" w:rsidRDefault="00000000" w:rsidRPr="00000000" w14:paraId="00000050">
            <w:pPr>
              <w:spacing w:after="240" w:before="240" w:lineRule="auto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Se deberá verificar especialmente que los clientes solo puedan acceder a sus propios pedidos y que las funciones administrativas se encuentren restringidas a usuarios autorizados.</w:t>
            </w:r>
          </w:p>
          <w:p w:rsidR="00000000" w:rsidDel="00000000" w:rsidP="00000000" w:rsidRDefault="00000000" w:rsidRPr="00000000" w14:paraId="00000051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1.2 Rendimiento</w:t>
            </w:r>
          </w:p>
          <w:p w:rsidR="00000000" w:rsidDel="00000000" w:rsidP="00000000" w:rsidRDefault="00000000" w:rsidRPr="00000000" w14:paraId="00000052">
            <w:pPr>
              <w:spacing w:after="240" w:before="240" w:lineRule="auto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Las principales operaciones del sistema deberán responder en un tiempo máximo aproximado de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3 segundos bajo condiciones normales de prueba</w:t>
            </w: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, considerando una conexión a Internet estable y los ambientes utilizados durante el desarrollo.</w:t>
            </w:r>
          </w:p>
          <w:p w:rsidR="00000000" w:rsidDel="00000000" w:rsidP="00000000" w:rsidRDefault="00000000" w:rsidRPr="00000000" w14:paraId="00000053">
            <w:pPr>
              <w:spacing w:after="240" w:before="240" w:lineRule="auto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Se evaluarán principalmente acciones como inicio de sesión, consulta de productos, navegación del catálogo, consulta de pedidos y operaciones administrativas frecuentes.</w:t>
            </w:r>
          </w:p>
          <w:p w:rsidR="00000000" w:rsidDel="00000000" w:rsidP="00000000" w:rsidRDefault="00000000" w:rsidRPr="00000000" w14:paraId="00000054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1.3 Usabilidad</w:t>
            </w:r>
          </w:p>
          <w:p w:rsidR="00000000" w:rsidDel="00000000" w:rsidP="00000000" w:rsidRDefault="00000000" w:rsidRPr="00000000" w14:paraId="00000055">
            <w:pPr>
              <w:spacing w:after="240" w:before="240" w:lineRule="auto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Las interfaces Web y Android deberán ser claras, intuitivas y consistentes, permitiendo que los usuarios comprendan las principales funciones sin requerir conocimientos técnicos especializados.</w:t>
            </w:r>
          </w:p>
          <w:p w:rsidR="00000000" w:rsidDel="00000000" w:rsidP="00000000" w:rsidRDefault="00000000" w:rsidRPr="00000000" w14:paraId="00000056">
            <w:pPr>
              <w:spacing w:after="240" w:before="240" w:lineRule="auto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El sistema deberá presentar mensajes comprensibles ante operaciones exitosas, errores o situaciones como falta de stock, problemas de autenticación o resultados del proceso de pago Sandbox.</w:t>
            </w:r>
          </w:p>
          <w:p w:rsidR="00000000" w:rsidDel="00000000" w:rsidP="00000000" w:rsidRDefault="00000000" w:rsidRPr="00000000" w14:paraId="00000057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1.4 Compatibilidad</w:t>
            </w:r>
          </w:p>
          <w:p w:rsidR="00000000" w:rsidDel="00000000" w:rsidP="00000000" w:rsidRDefault="00000000" w:rsidRPr="00000000" w14:paraId="00000058">
            <w:pPr>
              <w:spacing w:after="240" w:before="240" w:lineRule="auto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La plataforma Web deberá funcionar de manera responsiva en los navegadores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Google Chrome y Microsoft Edge</w:t>
            </w: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 utilizados durante las pruebas del proyecto.</w:t>
            </w:r>
          </w:p>
          <w:p w:rsidR="00000000" w:rsidDel="00000000" w:rsidP="00000000" w:rsidRDefault="00000000" w:rsidRPr="00000000" w14:paraId="00000059">
            <w:pPr>
              <w:spacing w:after="240" w:before="240" w:lineRule="auto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La aplicación móvil será desarrollada y validada exclusivamente para dispositivos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Android</w:t>
            </w: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 disponibles para pruebas. No se considera compatibilidad con iOS dentro del alcance del MVP.</w:t>
            </w:r>
          </w:p>
          <w:p w:rsidR="00000000" w:rsidDel="00000000" w:rsidP="00000000" w:rsidRDefault="00000000" w:rsidRPr="00000000" w14:paraId="0000005A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1.5 Mantenibilidad</w:t>
            </w:r>
          </w:p>
          <w:p w:rsidR="00000000" w:rsidDel="00000000" w:rsidP="00000000" w:rsidRDefault="00000000" w:rsidRPr="00000000" w14:paraId="0000005B">
            <w:pPr>
              <w:spacing w:after="240" w:before="240" w:lineRule="auto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La solución deberá mantener una estructura modular que facilite la comprensión, corrección y modificación del sistema durante el desarrollo.</w:t>
            </w:r>
          </w:p>
          <w:p w:rsidR="00000000" w:rsidDel="00000000" w:rsidP="00000000" w:rsidRDefault="00000000" w:rsidRPr="00000000" w14:paraId="0000005C">
            <w:pPr>
              <w:spacing w:after="240" w:before="240" w:lineRule="auto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Se procurará mantener una separación clara entre interfaz de usuario, lógica de negocio y acceso a datos, favoreciendo la integración entre la plataforma Web, la aplicación Android y los servicios centralizados utilizados por GROWDER.</w:t>
            </w:r>
          </w:p>
          <w:p w:rsidR="00000000" w:rsidDel="00000000" w:rsidP="00000000" w:rsidRDefault="00000000" w:rsidRPr="00000000" w14:paraId="0000005D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1.6 Consideraciones adicionales de calidad</w:t>
            </w:r>
          </w:p>
          <w:p w:rsidR="00000000" w:rsidDel="00000000" w:rsidP="00000000" w:rsidRDefault="00000000" w:rsidRPr="00000000" w14:paraId="0000005E">
            <w:pPr>
              <w:spacing w:after="240" w:before="240" w:lineRule="auto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La información de inventario y pedidos deberá mantenerse centralizada y actualizada entre los distintos componentes del sistema. El sistema deberá impedir stock negativo y validar la disponibilidad antes de confirmar una compra.</w:t>
            </w:r>
          </w:p>
          <w:p w:rsidR="00000000" w:rsidDel="00000000" w:rsidP="00000000" w:rsidRDefault="00000000" w:rsidRPr="00000000" w14:paraId="0000005F">
            <w:pPr>
              <w:spacing w:after="240" w:before="240" w:lineRule="auto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El proceso de pago se realizará exclusivamente mediante ambientes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Sandbox</w:t>
            </w: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. La reserva temporal de stock asociada al checkout tendrá una duración máxima de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6 minutos</w:t>
            </w: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, liberándose cuando expire el tiempo establecido o cuando el pago sea rechazado o cancelado.</w:t>
            </w:r>
          </w:p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105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"/>
        <w:tblpPr w:leftFromText="141" w:rightFromText="141" w:topFromText="0" w:bottomFromText="0" w:vertAnchor="text" w:horzAnchor="text" w:tblpX="3388" w:tblpY="17"/>
        <w:tblW w:w="8705.0" w:type="dxa"/>
        <w:jc w:val="left"/>
        <w:tblBorders>
          <w:top w:color="4f81bd" w:space="0" w:sz="4" w:val="single"/>
          <w:left w:color="4f81bd" w:space="0" w:sz="4" w:val="single"/>
          <w:bottom w:color="4f81bd" w:space="0" w:sz="4" w:val="single"/>
          <w:right w:color="4f81bd" w:space="0" w:sz="4" w:val="single"/>
        </w:tblBorders>
        <w:tblLayout w:type="fixed"/>
        <w:tblLook w:val="04A0"/>
      </w:tblPr>
      <w:tblGrid>
        <w:gridCol w:w="8705"/>
        <w:tblGridChange w:id="0">
          <w:tblGrid>
            <w:gridCol w:w="8705"/>
          </w:tblGrid>
        </w:tblGridChange>
      </w:tblGrid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Identificación de los Interesados del Proyecto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78">
            <w:pPr>
              <w:pStyle w:val="Heading3"/>
              <w:keepNext w:val="0"/>
              <w:keepLines w:val="0"/>
              <w:rPr>
                <w:sz w:val="26"/>
                <w:szCs w:val="26"/>
              </w:rPr>
            </w:pPr>
            <w:bookmarkStart w:colFirst="0" w:colLast="0" w:name="_heading=h.nkv0pek9eelh" w:id="1"/>
            <w:bookmarkEnd w:id="1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spacing w:after="240" w:before="240" w:lineRule="auto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Los criterios de calidad del proyecto GROWDER consideran las necesidades y expectativas de los principales interesados identificados durante la planificación del proyecto.</w:t>
            </w:r>
          </w:p>
          <w:p w:rsidR="00000000" w:rsidDel="00000000" w:rsidP="00000000" w:rsidRDefault="00000000" w:rsidRPr="00000000" w14:paraId="0000007A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2.1 Representante Legal / Dueño de SuMateCL</w:t>
            </w:r>
          </w:p>
          <w:p w:rsidR="00000000" w:rsidDel="00000000" w:rsidP="00000000" w:rsidRDefault="00000000" w:rsidRPr="00000000" w14:paraId="0000007B">
            <w:pPr>
              <w:spacing w:after="240" w:before="240" w:lineRule="auto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Corresponde al cliente y mandante principal del proyecto. Su interés se centra en disponer de una solución que facilite la gestión de productos, inventario y pedidos, además de mejorar la experiencia de compra de sus clientes.</w:t>
            </w:r>
          </w:p>
          <w:p w:rsidR="00000000" w:rsidDel="00000000" w:rsidP="00000000" w:rsidRDefault="00000000" w:rsidRPr="00000000" w14:paraId="0000007C">
            <w:pPr>
              <w:spacing w:after="240" w:before="240" w:lineRule="auto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Desde la perspectiva de calidad, se espera que las funcionalidades principales respondan correctamente a las necesidades definidas para el MVP y que la información manejada por el sistema sea consistente.</w:t>
            </w:r>
          </w:p>
          <w:p w:rsidR="00000000" w:rsidDel="00000000" w:rsidP="00000000" w:rsidRDefault="00000000" w:rsidRPr="00000000" w14:paraId="0000007D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2.2 Docente Guía y Evaluador Académico</w:t>
            </w:r>
          </w:p>
          <w:p w:rsidR="00000000" w:rsidDel="00000000" w:rsidP="00000000" w:rsidRDefault="00000000" w:rsidRPr="00000000" w14:paraId="0000007E">
            <w:pPr>
              <w:spacing w:after="240" w:before="240" w:lineRule="auto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Supervisa el desarrollo del proyecto desde el ámbito académico, verificando la coherencia entre los requerimientos, alcance, planificación, documentación y solución implementada.</w:t>
            </w:r>
          </w:p>
          <w:p w:rsidR="00000000" w:rsidDel="00000000" w:rsidP="00000000" w:rsidRDefault="00000000" w:rsidRPr="00000000" w14:paraId="0000007F">
            <w:pPr>
              <w:spacing w:after="240" w:before="240" w:lineRule="auto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La calidad esperada considera que los entregables sean consistentes entre sí y que el equipo pueda justificar las decisiones tomadas durante el desarrollo.</w:t>
            </w:r>
          </w:p>
          <w:p w:rsidR="00000000" w:rsidDel="00000000" w:rsidP="00000000" w:rsidRDefault="00000000" w:rsidRPr="00000000" w14:paraId="00000080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2.3 Ignacio Manriquez – Gerente de Proyecto / Product Owner &amp; Backend Developer</w:t>
            </w:r>
          </w:p>
          <w:p w:rsidR="00000000" w:rsidDel="00000000" w:rsidP="00000000" w:rsidRDefault="00000000" w:rsidRPr="00000000" w14:paraId="00000081">
            <w:pPr>
              <w:spacing w:after="240" w:before="240" w:lineRule="auto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Responsable de coordinar el proyecto, mantener el seguimiento del alcance y colaborar en el desarrollo de la lógica backend y reglas de negocio.</w:t>
            </w:r>
          </w:p>
          <w:p w:rsidR="00000000" w:rsidDel="00000000" w:rsidP="00000000" w:rsidRDefault="00000000" w:rsidRPr="00000000" w14:paraId="00000082">
            <w:pPr>
              <w:spacing w:after="240" w:before="240" w:lineRule="auto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Desde la perspectiva de calidad, participa en la revisión del funcionamiento de procesos como autenticación, pedidos, inventario, reserva temporal de stock y flujo de compra.</w:t>
            </w:r>
          </w:p>
          <w:p w:rsidR="00000000" w:rsidDel="00000000" w:rsidP="00000000" w:rsidRDefault="00000000" w:rsidRPr="00000000" w14:paraId="00000083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2.4 Bryan Silva – Scrum Master &amp; Arquitecto de Base de Datos</w:t>
            </w:r>
          </w:p>
          <w:p w:rsidR="00000000" w:rsidDel="00000000" w:rsidP="00000000" w:rsidRDefault="00000000" w:rsidRPr="00000000" w14:paraId="00000084">
            <w:pPr>
              <w:spacing w:after="240" w:before="240" w:lineRule="auto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Responsable de apoyar la organización del trabajo del equipo y del diseño y mantenimiento de la estructura de datos utilizada por GROWDER.</w:t>
            </w:r>
          </w:p>
          <w:p w:rsidR="00000000" w:rsidDel="00000000" w:rsidP="00000000" w:rsidRDefault="00000000" w:rsidRPr="00000000" w14:paraId="00000085">
            <w:pPr>
              <w:spacing w:after="240" w:before="240" w:lineRule="auto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Su participación en calidad se relaciona principalmente con la consistencia de la información, relaciones entre entidades, permisos de acceso y funcionamiento de los servicios centralizados.</w:t>
            </w:r>
          </w:p>
          <w:p w:rsidR="00000000" w:rsidDel="00000000" w:rsidP="00000000" w:rsidRDefault="00000000" w:rsidRPr="00000000" w14:paraId="00000086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2.5 Matías Medina – Frontend &amp; Mobile Developer</w:t>
            </w:r>
          </w:p>
          <w:p w:rsidR="00000000" w:rsidDel="00000000" w:rsidP="00000000" w:rsidRDefault="00000000" w:rsidRPr="00000000" w14:paraId="00000087">
            <w:pPr>
              <w:spacing w:after="240" w:before="240" w:lineRule="auto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Responsable del desarrollo de las interfaces de la plataforma Web y de la aplicación móvil Android destinada a clientes.</w:t>
            </w:r>
          </w:p>
          <w:p w:rsidR="00000000" w:rsidDel="00000000" w:rsidP="00000000" w:rsidRDefault="00000000" w:rsidRPr="00000000" w14:paraId="00000088">
            <w:pPr>
              <w:spacing w:after="240" w:before="240" w:lineRule="auto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Desde la perspectiva de calidad, debe procurar que las interfaces sean claras, consistentes, responsivas y permitan ejecutar correctamente los principales flujos definidos para el MVP.</w:t>
            </w:r>
          </w:p>
          <w:p w:rsidR="00000000" w:rsidDel="00000000" w:rsidP="00000000" w:rsidRDefault="00000000" w:rsidRPr="00000000" w14:paraId="00000089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2.6 Matías Ríos – QA Engineer &amp; Integrador Cloud</w:t>
            </w:r>
          </w:p>
          <w:p w:rsidR="00000000" w:rsidDel="00000000" w:rsidP="00000000" w:rsidRDefault="00000000" w:rsidRPr="00000000" w14:paraId="0000008A">
            <w:pPr>
              <w:spacing w:after="240" w:before="240" w:lineRule="auto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Responsable de apoyar la planificación y ejecución de pruebas, registrar incidencias, verificar correcciones y colaborar en la integración y preparación de los ambientes utilizados para la demostración.</w:t>
            </w:r>
          </w:p>
          <w:p w:rsidR="00000000" w:rsidDel="00000000" w:rsidP="00000000" w:rsidRDefault="00000000" w:rsidRPr="00000000" w14:paraId="0000008B">
            <w:pPr>
              <w:spacing w:after="240" w:before="240" w:lineRule="auto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Su participación se enfoca especialmente en comprobar el cumplimiento de los requerimientos funcionales y no funcionales establecidos.</w:t>
            </w:r>
          </w:p>
          <w:p w:rsidR="00000000" w:rsidDel="00000000" w:rsidP="00000000" w:rsidRDefault="00000000" w:rsidRPr="00000000" w14:paraId="0000008C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2.7 Personal de Bodega / Despacho de SuMateCL</w:t>
            </w:r>
          </w:p>
          <w:p w:rsidR="00000000" w:rsidDel="00000000" w:rsidP="00000000" w:rsidRDefault="00000000" w:rsidRPr="00000000" w14:paraId="0000008D">
            <w:pPr>
              <w:spacing w:after="240" w:before="240" w:lineRule="auto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Corresponde a los usuarios internos relacionados con la preparación y gestión de pedidos.</w:t>
            </w:r>
          </w:p>
          <w:p w:rsidR="00000000" w:rsidDel="00000000" w:rsidP="00000000" w:rsidRDefault="00000000" w:rsidRPr="00000000" w14:paraId="0000008E">
            <w:pPr>
              <w:spacing w:after="240" w:before="240" w:lineRule="auto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Su principal expectativa de calidad es disponer, mediante el panel Web autorizado, de información clara y actualizada sobre los pedidos y sus estados, facilitando las actividades internas de preparación y despacho.</w:t>
            </w:r>
          </w:p>
          <w:p w:rsidR="00000000" w:rsidDel="00000000" w:rsidP="00000000" w:rsidRDefault="00000000" w:rsidRPr="00000000" w14:paraId="0000008F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2.8 Clientes Finales B2C</w:t>
            </w:r>
          </w:p>
          <w:p w:rsidR="00000000" w:rsidDel="00000000" w:rsidP="00000000" w:rsidRDefault="00000000" w:rsidRPr="00000000" w14:paraId="00000090">
            <w:pPr>
              <w:spacing w:after="240" w:before="240" w:lineRule="auto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Corresponden a los usuarios que utilizarán la plataforma Web o la aplicación Android para consultar productos, gestionar su carrito, realizar el flujo de compra y consultar sus pedidos.</w:t>
            </w:r>
          </w:p>
          <w:p w:rsidR="00000000" w:rsidDel="00000000" w:rsidP="00000000" w:rsidRDefault="00000000" w:rsidRPr="00000000" w14:paraId="00000091">
            <w:pPr>
              <w:spacing w:after="240" w:before="240" w:lineRule="auto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Se espera una experiencia clara y comprensible, con información actualizada de productos y disponibilidad, mensajes adecuados durante el proceso de compra y acceso únicamente a la información correspondiente a su propia cuenta.</w:t>
            </w:r>
          </w:p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5"/>
        <w:tblpPr w:leftFromText="141" w:rightFromText="141" w:topFromText="0" w:bottomFromText="0" w:vertAnchor="text" w:horzAnchor="text" w:tblpX="3388" w:tblpY="17"/>
        <w:tblW w:w="8676.0" w:type="dxa"/>
        <w:jc w:val="left"/>
        <w:tblBorders>
          <w:top w:color="4f81bd" w:space="0" w:sz="4" w:val="single"/>
          <w:left w:color="4f81bd" w:space="0" w:sz="4" w:val="single"/>
          <w:bottom w:color="4f81bd" w:space="0" w:sz="4" w:val="single"/>
          <w:right w:color="4f81bd" w:space="0" w:sz="4" w:val="single"/>
        </w:tblBorders>
        <w:tblLayout w:type="fixed"/>
        <w:tblLook w:val="04A0"/>
      </w:tblPr>
      <w:tblGrid>
        <w:gridCol w:w="8676"/>
        <w:tblGridChange w:id="0">
          <w:tblGrid>
            <w:gridCol w:w="8676"/>
          </w:tblGrid>
        </w:tblGridChange>
      </w:tblGrid>
      <w:tr>
        <w:trPr>
          <w:cantSplit w:val="0"/>
          <w:trHeight w:val="410" w:hRule="atLeast"/>
          <w:tblHeader w:val="0"/>
        </w:trPr>
        <w:tc>
          <w:tcPr/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Alcance Inicial del Proyecto</w:t>
            </w:r>
          </w:p>
        </w:tc>
      </w:tr>
      <w:tr>
        <w:trPr>
          <w:cantSplit w:val="0"/>
          <w:trHeight w:val="410" w:hRule="atLeast"/>
          <w:tblHeader w:val="0"/>
        </w:trPr>
        <w:tc>
          <w:tcPr/>
          <w:p w:rsidR="00000000" w:rsidDel="00000000" w:rsidP="00000000" w:rsidRDefault="00000000" w:rsidRPr="00000000" w14:paraId="000000B3">
            <w:pPr>
              <w:pStyle w:val="Heading3"/>
              <w:keepNext w:val="0"/>
              <w:keepLines w:val="0"/>
              <w:rPr>
                <w:sz w:val="26"/>
                <w:szCs w:val="26"/>
              </w:rPr>
            </w:pPr>
            <w:bookmarkStart w:colFirst="0" w:colLast="0" w:name="_heading=h.1z6d6orrixc6" w:id="2"/>
            <w:bookmarkEnd w:id="2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4">
            <w:pPr>
              <w:spacing w:after="240" w:before="240" w:lineRule="auto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El proyecto GROWDER contempla el desarrollo de un Producto Mínimo Viable (MVP) orientado a mejorar y centralizar la gestión comercial de SuMateCL mediante una plataforma Web, una aplicación móvil Android y servicios backend centralizados.</w:t>
            </w:r>
          </w:p>
          <w:p w:rsidR="00000000" w:rsidDel="00000000" w:rsidP="00000000" w:rsidRDefault="00000000" w:rsidRPr="00000000" w14:paraId="000000B5">
            <w:pPr>
              <w:spacing w:after="240" w:before="240" w:lineRule="auto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El alcance se encuentra limitado a las funcionalidades definidas en los requerimientos oficiales del proyecto y a las capacidades que puedan implementarse y demostrarse dentro del período académico.</w:t>
            </w:r>
          </w:p>
          <w:p w:rsidR="00000000" w:rsidDel="00000000" w:rsidP="00000000" w:rsidRDefault="00000000" w:rsidRPr="00000000" w14:paraId="000000B6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3.1 Componentes incluidos en el alcance</w:t>
            </w:r>
          </w:p>
          <w:p w:rsidR="00000000" w:rsidDel="00000000" w:rsidP="00000000" w:rsidRDefault="00000000" w:rsidRPr="00000000" w14:paraId="000000B7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Plataforma Web para clientes</w:t>
            </w:r>
          </w:p>
          <w:p w:rsidR="00000000" w:rsidDel="00000000" w:rsidP="00000000" w:rsidRDefault="00000000" w:rsidRPr="00000000" w14:paraId="000000B8">
            <w:pPr>
              <w:spacing w:after="240" w:before="240" w:lineRule="auto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La plataforma Web permitirá a los clientes registrarse e iniciar sesión, consultar el catálogo de productos, revisar información y disponibilidad, gestionar un carrito de compras, realizar el proceso de checkout y consultar el estado de sus pedidos.</w:t>
            </w:r>
          </w:p>
          <w:p w:rsidR="00000000" w:rsidDel="00000000" w:rsidP="00000000" w:rsidRDefault="00000000" w:rsidRPr="00000000" w14:paraId="000000B9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Panel administrativo Web</w:t>
            </w:r>
          </w:p>
          <w:p w:rsidR="00000000" w:rsidDel="00000000" w:rsidP="00000000" w:rsidRDefault="00000000" w:rsidRPr="00000000" w14:paraId="000000BA">
            <w:pPr>
              <w:spacing w:after="240" w:before="240" w:lineRule="auto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La misma plataforma Web contará con un área protegida destinada a usuarios autorizados, desde la cual será posible gestionar productos, inventario, usuarios, roles y pedidos de acuerdo con los permisos definidos.</w:t>
            </w:r>
          </w:p>
          <w:p w:rsidR="00000000" w:rsidDel="00000000" w:rsidP="00000000" w:rsidRDefault="00000000" w:rsidRPr="00000000" w14:paraId="000000BB">
            <w:pPr>
              <w:spacing w:after="240" w:before="240" w:lineRule="auto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Los roles principales considerados son Administrador y Trabajador de Bodega.</w:t>
            </w:r>
          </w:p>
          <w:p w:rsidR="00000000" w:rsidDel="00000000" w:rsidP="00000000" w:rsidRDefault="00000000" w:rsidRPr="00000000" w14:paraId="000000BC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Aplicación móvil Android para clientes</w:t>
            </w:r>
          </w:p>
          <w:p w:rsidR="00000000" w:rsidDel="00000000" w:rsidP="00000000" w:rsidRDefault="00000000" w:rsidRPr="00000000" w14:paraId="000000BD">
            <w:pPr>
              <w:spacing w:after="240" w:before="240" w:lineRule="auto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GROWDER contempla una aplicación móvil desarrollada para dispositivos Android, destinada a clientes de SuMateCL.</w:t>
            </w:r>
          </w:p>
          <w:p w:rsidR="00000000" w:rsidDel="00000000" w:rsidP="00000000" w:rsidRDefault="00000000" w:rsidRPr="00000000" w14:paraId="000000BE">
            <w:pPr>
              <w:spacing w:after="240" w:before="240" w:lineRule="auto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La aplicación permitirá acceder a las principales funciones de compra, incluyendo autenticación, catálogo, detalle de productos, carrito, checkout y consulta del estado de pedidos.</w:t>
            </w:r>
          </w:p>
          <w:p w:rsidR="00000000" w:rsidDel="00000000" w:rsidP="00000000" w:rsidRDefault="00000000" w:rsidRPr="00000000" w14:paraId="000000BF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Servicios backend y base de datos centralizada</w:t>
            </w:r>
          </w:p>
          <w:p w:rsidR="00000000" w:rsidDel="00000000" w:rsidP="00000000" w:rsidRDefault="00000000" w:rsidRPr="00000000" w14:paraId="000000C0">
            <w:pPr>
              <w:spacing w:after="240" w:before="240" w:lineRule="auto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La solución utilizará Supabase como servicio centralizado para almacenar y gestionar la información requerida por la plataforma Web y la aplicación Android.</w:t>
            </w:r>
          </w:p>
          <w:p w:rsidR="00000000" w:rsidDel="00000000" w:rsidP="00000000" w:rsidRDefault="00000000" w:rsidRPr="00000000" w14:paraId="000000C1">
            <w:pPr>
              <w:spacing w:after="240" w:before="240" w:lineRule="auto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Se considera el uso de PostgreSQL, Supabase Auth y Supabase Storage, además de los mecanismos de control de acceso necesarios para las funcionalidades del MVP.</w:t>
            </w:r>
          </w:p>
          <w:p w:rsidR="00000000" w:rsidDel="00000000" w:rsidP="00000000" w:rsidRDefault="00000000" w:rsidRPr="00000000" w14:paraId="000000C2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Gestión de inventario y pedidos</w:t>
            </w:r>
          </w:p>
          <w:p w:rsidR="00000000" w:rsidDel="00000000" w:rsidP="00000000" w:rsidRDefault="00000000" w:rsidRPr="00000000" w14:paraId="000000C3">
            <w:pPr>
              <w:spacing w:after="240" w:before="240" w:lineRule="auto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El sistema deberá mantener información centralizada y actualizada sobre productos, inventario y pedidos.</w:t>
            </w:r>
          </w:p>
          <w:p w:rsidR="00000000" w:rsidDel="00000000" w:rsidP="00000000" w:rsidRDefault="00000000" w:rsidRPr="00000000" w14:paraId="000000C4">
            <w:pPr>
              <w:spacing w:after="240" w:before="240" w:lineRule="auto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La disponibilidad de stock será validada antes de confirmar una compra y no se permitirá generar stock negativo.</w:t>
            </w:r>
          </w:p>
          <w:p w:rsidR="00000000" w:rsidDel="00000000" w:rsidP="00000000" w:rsidRDefault="00000000" w:rsidRPr="00000000" w14:paraId="000000C5">
            <w:pPr>
              <w:spacing w:after="240" w:before="240" w:lineRule="auto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Durante el checkout podrá realizarse una reserva temporal de stock por un máximo de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6 minutos</w:t>
            </w: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, liberándose cuando expire el plazo o cuando el proceso de pago sea rechazado o cancelado.</w:t>
            </w:r>
          </w:p>
          <w:p w:rsidR="00000000" w:rsidDel="00000000" w:rsidP="00000000" w:rsidRDefault="00000000" w:rsidRPr="00000000" w14:paraId="000000C6">
            <w:pPr>
              <w:spacing w:after="240" w:before="240" w:lineRule="auto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Los estados definidos para los pedidos son:</w:t>
            </w:r>
          </w:p>
          <w:p w:rsidR="00000000" w:rsidDel="00000000" w:rsidP="00000000" w:rsidRDefault="00000000" w:rsidRPr="00000000" w14:paraId="000000C7">
            <w:pPr>
              <w:numPr>
                <w:ilvl w:val="0"/>
                <w:numId w:val="3"/>
              </w:numPr>
              <w:spacing w:after="0" w:afterAutospacing="0" w:before="240" w:lineRule="auto"/>
              <w:ind w:left="720" w:hanging="360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Recibido</w:t>
            </w:r>
          </w:p>
          <w:p w:rsidR="00000000" w:rsidDel="00000000" w:rsidP="00000000" w:rsidRDefault="00000000" w:rsidRPr="00000000" w14:paraId="000000C8">
            <w:pPr>
              <w:numPr>
                <w:ilvl w:val="0"/>
                <w:numId w:val="3"/>
              </w:numPr>
              <w:spacing w:after="0" w:afterAutospacing="0" w:before="0" w:beforeAutospacing="0" w:lineRule="auto"/>
              <w:ind w:left="720" w:hanging="360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En preparación</w:t>
            </w:r>
          </w:p>
          <w:p w:rsidR="00000000" w:rsidDel="00000000" w:rsidP="00000000" w:rsidRDefault="00000000" w:rsidRPr="00000000" w14:paraId="000000C9">
            <w:pPr>
              <w:numPr>
                <w:ilvl w:val="0"/>
                <w:numId w:val="3"/>
              </w:numPr>
              <w:spacing w:after="0" w:afterAutospacing="0" w:before="0" w:beforeAutospacing="0" w:lineRule="auto"/>
              <w:ind w:left="720" w:hanging="360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Despachado</w:t>
            </w:r>
          </w:p>
          <w:p w:rsidR="00000000" w:rsidDel="00000000" w:rsidP="00000000" w:rsidRDefault="00000000" w:rsidRPr="00000000" w14:paraId="000000CA">
            <w:pPr>
              <w:numPr>
                <w:ilvl w:val="0"/>
                <w:numId w:val="3"/>
              </w:numPr>
              <w:spacing w:after="240" w:before="0" w:beforeAutospacing="0" w:lineRule="auto"/>
              <w:ind w:left="720" w:hanging="360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Entregado</w:t>
            </w:r>
          </w:p>
          <w:p w:rsidR="00000000" w:rsidDel="00000000" w:rsidP="00000000" w:rsidRDefault="00000000" w:rsidRPr="00000000" w14:paraId="000000CB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Integración de pagos en ambiente Sandbox</w:t>
            </w:r>
          </w:p>
          <w:p w:rsidR="00000000" w:rsidDel="00000000" w:rsidP="00000000" w:rsidRDefault="00000000" w:rsidRPr="00000000" w14:paraId="000000CC">
            <w:pPr>
              <w:spacing w:after="240" w:before="240" w:lineRule="auto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El proyecto contempla la integración con Webpay Plus y/o Mercado Pago utilizando exclusivamente ambientes de prueba Sandbox.</w:t>
            </w:r>
          </w:p>
          <w:p w:rsidR="00000000" w:rsidDel="00000000" w:rsidP="00000000" w:rsidRDefault="00000000" w:rsidRPr="00000000" w14:paraId="000000CD">
            <w:pPr>
              <w:spacing w:after="240" w:before="240" w:lineRule="auto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Las transacciones serán simuladas y no se utilizará dinero real durante el desarrollo ni la demostración académica.</w:t>
            </w:r>
          </w:p>
          <w:p w:rsidR="00000000" w:rsidDel="00000000" w:rsidP="00000000" w:rsidRDefault="00000000" w:rsidRPr="00000000" w14:paraId="000000CE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Documentación del proyecto</w:t>
            </w:r>
          </w:p>
          <w:p w:rsidR="00000000" w:rsidDel="00000000" w:rsidP="00000000" w:rsidRDefault="00000000" w:rsidRPr="00000000" w14:paraId="000000CF">
            <w:pPr>
              <w:spacing w:after="240" w:before="240" w:lineRule="auto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Se considera la elaboración y actualización de los documentos requeridos para la gestión académica del proyecto, incluyendo requerimientos, alcance, EDT, presupuesto, calidad, recursos, comunicaciones y demás entregables asociados al desarrollo de GROWDER.</w:t>
            </w:r>
          </w:p>
          <w:p w:rsidR="00000000" w:rsidDel="00000000" w:rsidP="00000000" w:rsidRDefault="00000000" w:rsidRPr="00000000" w14:paraId="000000D0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3.2 Exclusiones del alcance</w:t>
            </w:r>
          </w:p>
          <w:p w:rsidR="00000000" w:rsidDel="00000000" w:rsidP="00000000" w:rsidRDefault="00000000" w:rsidRPr="00000000" w14:paraId="000000D1">
            <w:pPr>
              <w:spacing w:after="240" w:before="240" w:lineRule="auto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Quedan explícitamente fuera del alcance del MVP:</w:t>
            </w:r>
          </w:p>
          <w:p w:rsidR="00000000" w:rsidDel="00000000" w:rsidP="00000000" w:rsidRDefault="00000000" w:rsidRPr="00000000" w14:paraId="000000D2">
            <w:pPr>
              <w:numPr>
                <w:ilvl w:val="0"/>
                <w:numId w:val="1"/>
              </w:numPr>
              <w:spacing w:after="0" w:afterAutospacing="0" w:before="240" w:lineRule="auto"/>
              <w:ind w:left="720" w:hanging="360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Procesamiento de pagos con dinero real.</w:t>
            </w:r>
          </w:p>
          <w:p w:rsidR="00000000" w:rsidDel="00000000" w:rsidP="00000000" w:rsidRDefault="00000000" w:rsidRPr="00000000" w14:paraId="000000D3">
            <w:pPr>
              <w:numPr>
                <w:ilvl w:val="0"/>
                <w:numId w:val="1"/>
              </w:numPr>
              <w:spacing w:after="0" w:afterAutospacing="0" w:before="0" w:beforeAutospacing="0" w:lineRule="auto"/>
              <w:ind w:left="720" w:hanging="360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Desarrollo de una aplicación para dispositivos iOS.</w:t>
            </w:r>
          </w:p>
          <w:p w:rsidR="00000000" w:rsidDel="00000000" w:rsidP="00000000" w:rsidRDefault="00000000" w:rsidRPr="00000000" w14:paraId="000000D4">
            <w:pPr>
              <w:numPr>
                <w:ilvl w:val="0"/>
                <w:numId w:val="1"/>
              </w:numPr>
              <w:spacing w:after="0" w:afterAutospacing="0" w:before="0" w:beforeAutospacing="0" w:lineRule="auto"/>
              <w:ind w:left="720" w:hanging="360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Integración automática con servicios externos de courier.</w:t>
            </w:r>
          </w:p>
          <w:p w:rsidR="00000000" w:rsidDel="00000000" w:rsidP="00000000" w:rsidRDefault="00000000" w:rsidRPr="00000000" w14:paraId="000000D5">
            <w:pPr>
              <w:numPr>
                <w:ilvl w:val="0"/>
                <w:numId w:val="1"/>
              </w:numPr>
              <w:spacing w:after="0" w:afterAutospacing="0" w:before="0" w:beforeAutospacing="0" w:lineRule="auto"/>
              <w:ind w:left="720" w:hanging="360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Integración directa con el Servicio de Impuestos Internos para emisión de documentos tributarios.</w:t>
            </w:r>
          </w:p>
          <w:p w:rsidR="00000000" w:rsidDel="00000000" w:rsidP="00000000" w:rsidRDefault="00000000" w:rsidRPr="00000000" w14:paraId="000000D6">
            <w:pPr>
              <w:numPr>
                <w:ilvl w:val="0"/>
                <w:numId w:val="1"/>
              </w:numPr>
              <w:spacing w:after="0" w:afterAutospacing="0" w:before="0" w:beforeAutospacing="0" w:lineRule="auto"/>
              <w:ind w:left="720" w:hanging="360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Funcionalidades avanzadas que no formen parte de los requerimientos definidos para el MVP.</w:t>
            </w:r>
          </w:p>
          <w:p w:rsidR="00000000" w:rsidDel="00000000" w:rsidP="00000000" w:rsidRDefault="00000000" w:rsidRPr="00000000" w14:paraId="000000D7">
            <w:pPr>
              <w:numPr>
                <w:ilvl w:val="0"/>
                <w:numId w:val="1"/>
              </w:numPr>
              <w:spacing w:after="240" w:before="0" w:beforeAutospacing="0" w:lineRule="auto"/>
              <w:ind w:left="720" w:hanging="360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Puesta en producción comercial definitiva de la solución.</w:t>
            </w:r>
          </w:p>
          <w:p w:rsidR="00000000" w:rsidDel="00000000" w:rsidP="00000000" w:rsidRDefault="00000000" w:rsidRPr="00000000" w14:paraId="000000D8">
            <w:pPr>
              <w:spacing w:after="240" w:before="240" w:lineRule="auto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La solución será desarrollada y evaluada principalmente como un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MVP académico y ambiente de demostración</w:t>
            </w: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, no como una plataforma productiva definitiva.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6"/>
        <w:tblpPr w:leftFromText="141" w:rightFromText="141" w:topFromText="0" w:bottomFromText="0" w:vertAnchor="text" w:horzAnchor="text" w:tblpX="3388" w:tblpY="17"/>
        <w:tblW w:w="8676.0" w:type="dxa"/>
        <w:jc w:val="left"/>
        <w:tblBorders>
          <w:top w:color="4f81bd" w:space="0" w:sz="4" w:val="single"/>
          <w:left w:color="4f81bd" w:space="0" w:sz="4" w:val="single"/>
          <w:bottom w:color="4f81bd" w:space="0" w:sz="4" w:val="single"/>
          <w:right w:color="4f81bd" w:space="0" w:sz="4" w:val="single"/>
        </w:tblBorders>
        <w:tblLayout w:type="fixed"/>
        <w:tblLook w:val="04A0"/>
      </w:tblPr>
      <w:tblGrid>
        <w:gridCol w:w="8676"/>
        <w:tblGridChange w:id="0">
          <w:tblGrid>
            <w:gridCol w:w="8676"/>
          </w:tblGrid>
        </w:tblGridChange>
      </w:tblGrid>
      <w:tr>
        <w:trPr>
          <w:cantSplit w:val="0"/>
          <w:trHeight w:val="410" w:hRule="atLeast"/>
          <w:tblHeader w:val="0"/>
        </w:trPr>
        <w:tc>
          <w:tcPr/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Línea Base del cronograma</w:t>
            </w:r>
          </w:p>
        </w:tc>
      </w:tr>
      <w:tr>
        <w:trPr>
          <w:cantSplit w:val="0"/>
          <w:trHeight w:val="410" w:hRule="atLeast"/>
          <w:tblHeader w:val="0"/>
        </w:trPr>
        <w:tc>
          <w:tcPr/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3">
            <w:pPr>
              <w:pStyle w:val="Heading3"/>
              <w:keepNext w:val="0"/>
              <w:keepLines w:val="0"/>
              <w:rPr>
                <w:sz w:val="26"/>
                <w:szCs w:val="26"/>
              </w:rPr>
            </w:pPr>
            <w:bookmarkStart w:colFirst="0" w:colLast="0" w:name="_heading=h.c2bjwu1isphm" w:id="3"/>
            <w:bookmarkEnd w:id="3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4">
            <w:pPr>
              <w:spacing w:after="240" w:before="240" w:lineRule="auto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El proyecto GROWDER se desarrollará dentro del período comprendido entre el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13/08/2026 y el 26/11/2026</w:t>
            </w: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, considerando aproximadamente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14 semanas efectivas de trabajo</w:t>
            </w: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105">
            <w:pPr>
              <w:spacing w:after="240" w:before="240" w:lineRule="auto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La planificación contempla el avance progresivo desde el levantamiento de requerimientos hasta la integración, pruebas, demostración y cierre académico. Las actividades podrán ajustarse durante el desarrollo de acuerdo con el avance real del equipo, manteniendo siempre el alcance definido para el MVP.</w:t>
            </w:r>
          </w:p>
          <w:p w:rsidR="00000000" w:rsidDel="00000000" w:rsidP="00000000" w:rsidRDefault="00000000" w:rsidRPr="00000000" w14:paraId="00000106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4.1 Levantamiento y definición del proyecto</w:t>
            </w:r>
          </w:p>
          <w:p w:rsidR="00000000" w:rsidDel="00000000" w:rsidP="00000000" w:rsidRDefault="00000000" w:rsidRPr="00000000" w14:paraId="00000107">
            <w:pPr>
              <w:spacing w:after="240" w:before="240" w:lineRule="auto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Durante esta etapa se recopilan las necesidades principales de SuMateCL y se elaboran los documentos iniciales que permiten establecer los objetivos, alcance, interesados, responsabilidades y requerimientos del proyecto.</w:t>
            </w:r>
          </w:p>
          <w:p w:rsidR="00000000" w:rsidDel="00000000" w:rsidP="00000000" w:rsidRDefault="00000000" w:rsidRPr="00000000" w14:paraId="00000108">
            <w:pPr>
              <w:spacing w:after="240" w:before="240" w:lineRule="auto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La calidad de esta etapa se verificará mediante la coherencia entre la problemática identificada, los requerimientos y los documentos de planificación elaborados.</w:t>
            </w:r>
          </w:p>
          <w:p w:rsidR="00000000" w:rsidDel="00000000" w:rsidP="00000000" w:rsidRDefault="00000000" w:rsidRPr="00000000" w14:paraId="00000109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4.2 Diseño de la solución</w:t>
            </w:r>
          </w:p>
          <w:p w:rsidR="00000000" w:rsidDel="00000000" w:rsidP="00000000" w:rsidRDefault="00000000" w:rsidRPr="00000000" w14:paraId="0000010A">
            <w:pPr>
              <w:spacing w:after="240" w:before="240" w:lineRule="auto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Comprende la definición de la arquitectura general, modelo de datos, interfaces principales, roles, permisos y flujos relevantes de la solución.</w:t>
            </w:r>
          </w:p>
          <w:p w:rsidR="00000000" w:rsidDel="00000000" w:rsidP="00000000" w:rsidRDefault="00000000" w:rsidRPr="00000000" w14:paraId="0000010B">
            <w:pPr>
              <w:spacing w:after="240" w:before="240" w:lineRule="auto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Se buscará que las decisiones de diseño sean compatibles con las tecnologías seleccionadas y con las funcionalidades definidas para el MVP.</w:t>
            </w:r>
          </w:p>
          <w:p w:rsidR="00000000" w:rsidDel="00000000" w:rsidP="00000000" w:rsidRDefault="00000000" w:rsidRPr="00000000" w14:paraId="0000010C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4.3 Desarrollo de componentes principales</w:t>
            </w:r>
          </w:p>
          <w:p w:rsidR="00000000" w:rsidDel="00000000" w:rsidP="00000000" w:rsidRDefault="00000000" w:rsidRPr="00000000" w14:paraId="0000010D">
            <w:pPr>
              <w:spacing w:after="240" w:before="240" w:lineRule="auto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Considera la construcción progresiva de los servicios backend, base de datos, plataforma Web, panel administrativo y aplicación móvil Android.</w:t>
            </w:r>
          </w:p>
          <w:p w:rsidR="00000000" w:rsidDel="00000000" w:rsidP="00000000" w:rsidRDefault="00000000" w:rsidRPr="00000000" w14:paraId="0000010E">
            <w:pPr>
              <w:spacing w:after="240" w:before="240" w:lineRule="auto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Durante esta etapa se realizarán verificaciones parciales para detectar errores y mantener la integración entre los componentes desarrollados.</w:t>
            </w:r>
          </w:p>
          <w:p w:rsidR="00000000" w:rsidDel="00000000" w:rsidP="00000000" w:rsidRDefault="00000000" w:rsidRPr="00000000" w14:paraId="0000010F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4.4 Integración de funcionalidades</w:t>
            </w:r>
          </w:p>
          <w:p w:rsidR="00000000" w:rsidDel="00000000" w:rsidP="00000000" w:rsidRDefault="00000000" w:rsidRPr="00000000" w14:paraId="00000110">
            <w:pPr>
              <w:spacing w:after="240" w:before="240" w:lineRule="auto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Comprende la conexión entre la plataforma Web, aplicación Android, servicios de Supabase y la alternativa de pago seleccionada en ambiente Sandbox.</w:t>
            </w:r>
          </w:p>
          <w:p w:rsidR="00000000" w:rsidDel="00000000" w:rsidP="00000000" w:rsidRDefault="00000000" w:rsidRPr="00000000" w14:paraId="00000111">
            <w:pPr>
              <w:spacing w:after="240" w:before="240" w:lineRule="auto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También considera la validación del comportamiento del inventario, generación de pedidos, reserva temporal de stock y actualización de los estados definidos.</w:t>
            </w:r>
          </w:p>
          <w:p w:rsidR="00000000" w:rsidDel="00000000" w:rsidP="00000000" w:rsidRDefault="00000000" w:rsidRPr="00000000" w14:paraId="00000112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4.5 Pruebas, demostración y cierre</w:t>
            </w:r>
          </w:p>
          <w:p w:rsidR="00000000" w:rsidDel="00000000" w:rsidP="00000000" w:rsidRDefault="00000000" w:rsidRPr="00000000" w14:paraId="00000113">
            <w:pPr>
              <w:spacing w:after="240" w:before="240" w:lineRule="auto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Durante la etapa final se realizarán pruebas funcionales y de integración sobre los principales flujos del MVP, junto con la corrección de incidencias priorizadas.</w:t>
            </w:r>
          </w:p>
          <w:p w:rsidR="00000000" w:rsidDel="00000000" w:rsidP="00000000" w:rsidRDefault="00000000" w:rsidRPr="00000000" w14:paraId="00000114">
            <w:pPr>
              <w:spacing w:after="240" w:before="240" w:lineRule="auto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Finalmente se preparará el ambiente de demostración, documentación requerida y presentación académica del proyecto.</w:t>
            </w:r>
          </w:p>
          <w:p w:rsidR="00000000" w:rsidDel="00000000" w:rsidP="00000000" w:rsidRDefault="00000000" w:rsidRPr="00000000" w14:paraId="00000115">
            <w:pPr>
              <w:spacing w:after="240" w:before="240" w:lineRule="auto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Los hitos y actividades deberán mantenerse alineados con el cronograma vigente del proyecto. Cualquier cambio relevante que afecte fechas, alcance o entregables deberá ser evaluado y registrado según el mecanismo de control de cambios definido por el equipo.</w:t>
            </w:r>
          </w:p>
          <w:p w:rsidR="00000000" w:rsidDel="00000000" w:rsidP="00000000" w:rsidRDefault="00000000" w:rsidRPr="00000000" w14:paraId="000001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7"/>
        <w:tblpPr w:leftFromText="141" w:rightFromText="141" w:topFromText="0" w:bottomFromText="0" w:vertAnchor="text" w:horzAnchor="text" w:tblpX="3388" w:tblpY="17"/>
        <w:tblW w:w="8676.0" w:type="dxa"/>
        <w:jc w:val="left"/>
        <w:tblBorders>
          <w:top w:color="4f81bd" w:space="0" w:sz="4" w:val="single"/>
          <w:left w:color="4f81bd" w:space="0" w:sz="4" w:val="single"/>
          <w:bottom w:color="4f81bd" w:space="0" w:sz="4" w:val="single"/>
          <w:right w:color="4f81bd" w:space="0" w:sz="4" w:val="single"/>
        </w:tblBorders>
        <w:tblLayout w:type="fixed"/>
        <w:tblLook w:val="04A0"/>
      </w:tblPr>
      <w:tblGrid>
        <w:gridCol w:w="8676"/>
        <w:tblGridChange w:id="0">
          <w:tblGrid>
            <w:gridCol w:w="8676"/>
          </w:tblGrid>
        </w:tblGridChange>
      </w:tblGrid>
      <w:tr>
        <w:trPr>
          <w:cantSplit w:val="0"/>
          <w:trHeight w:val="410" w:hRule="atLeast"/>
          <w:tblHeader w:val="0"/>
        </w:trPr>
        <w:tc>
          <w:tcPr/>
          <w:p w:rsidR="00000000" w:rsidDel="00000000" w:rsidP="00000000" w:rsidRDefault="00000000" w:rsidRPr="00000000" w14:paraId="0000013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Registro de Riesgos </w:t>
            </w:r>
          </w:p>
        </w:tc>
      </w:tr>
      <w:tr>
        <w:trPr>
          <w:cantSplit w:val="0"/>
          <w:trHeight w:val="410" w:hRule="atLeast"/>
          <w:tblHeader w:val="0"/>
        </w:trPr>
        <w:tc>
          <w:tcPr/>
          <w:p w:rsidR="00000000" w:rsidDel="00000000" w:rsidP="00000000" w:rsidRDefault="00000000" w:rsidRPr="00000000" w14:paraId="0000013D">
            <w:pPr>
              <w:pStyle w:val="Heading3"/>
              <w:keepNext w:val="0"/>
              <w:keepLines w:val="0"/>
              <w:rPr>
                <w:sz w:val="26"/>
                <w:szCs w:val="26"/>
              </w:rPr>
            </w:pPr>
            <w:bookmarkStart w:colFirst="0" w:colLast="0" w:name="_heading=h.gceyfqesrkb1" w:id="4"/>
            <w:bookmarkEnd w:id="4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E">
            <w:pPr>
              <w:spacing w:after="240" w:before="240" w:lineRule="auto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Para apoyar el cumplimiento de los criterios de calidad de GROWDER, se consideran riesgos técnicos y de gestión que podrían afectar el funcionamiento del MVP, las pruebas o la demostración final.</w:t>
            </w:r>
          </w:p>
          <w:p w:rsidR="00000000" w:rsidDel="00000000" w:rsidP="00000000" w:rsidRDefault="00000000" w:rsidRPr="00000000" w14:paraId="0000013F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5.1 Riesgo R-01: Limitaciones o indisponibilidad de servicios Cloud</w:t>
            </w:r>
          </w:p>
          <w:p w:rsidR="00000000" w:rsidDel="00000000" w:rsidP="00000000" w:rsidRDefault="00000000" w:rsidRPr="00000000" w14:paraId="00000140">
            <w:pPr>
              <w:spacing w:after="240" w:before="240" w:lineRule="auto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Existe la posibilidad de alcanzar límites de los planes gratuitos utilizados o experimentar indisponibilidad temporal de servicios como Supabase o Vercel.</w:t>
            </w:r>
          </w:p>
          <w:p w:rsidR="00000000" w:rsidDel="00000000" w:rsidP="00000000" w:rsidRDefault="00000000" w:rsidRPr="00000000" w14:paraId="00000141">
            <w:pPr>
              <w:spacing w:after="240" w:before="240" w:lineRule="auto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Impacto:</w:t>
            </w: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 Alto</w:t>
              <w:br w:type="textWrapping"/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Probabilidad:</w:t>
            </w: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 Media</w:t>
            </w:r>
          </w:p>
          <w:p w:rsidR="00000000" w:rsidDel="00000000" w:rsidP="00000000" w:rsidRDefault="00000000" w:rsidRPr="00000000" w14:paraId="00000142">
            <w:pPr>
              <w:spacing w:after="240" w:before="240" w:lineRule="auto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Medidas de mitigación:</w:t>
            </w: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 Supervisar el uso de los servicios durante el desarrollo, optimizar los recursos utilizados y mantener una reserva presupuestaria Cloud en caso de que sea necesario ampliar temporalmente alguna capacidad.</w:t>
            </w:r>
          </w:p>
          <w:p w:rsidR="00000000" w:rsidDel="00000000" w:rsidP="00000000" w:rsidRDefault="00000000" w:rsidRPr="00000000" w14:paraId="00000143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5.2 Riesgo R-02: Problemas con ambientes de pago Sandbox</w:t>
            </w:r>
          </w:p>
          <w:p w:rsidR="00000000" w:rsidDel="00000000" w:rsidP="00000000" w:rsidRDefault="00000000" w:rsidRPr="00000000" w14:paraId="00000144">
            <w:pPr>
              <w:spacing w:after="240" w:before="240" w:lineRule="auto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Los ambientes de prueba de Webpay Plus o Mercado Pago pueden presentar indisponibilidad, errores temporales o comportamientos distintos durante las pruebas.</w:t>
            </w:r>
          </w:p>
          <w:p w:rsidR="00000000" w:rsidDel="00000000" w:rsidP="00000000" w:rsidRDefault="00000000" w:rsidRPr="00000000" w14:paraId="00000145">
            <w:pPr>
              <w:spacing w:after="240" w:before="240" w:lineRule="auto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Impacto:</w:t>
            </w: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 Medio</w:t>
              <w:br w:type="textWrapping"/>
              <w:t xml:space="preserve">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Probabilidad:</w:t>
            </w: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 Media</w:t>
            </w:r>
          </w:p>
          <w:p w:rsidR="00000000" w:rsidDel="00000000" w:rsidP="00000000" w:rsidRDefault="00000000" w:rsidRPr="00000000" w14:paraId="00000146">
            <w:pPr>
              <w:spacing w:after="240" w:before="240" w:lineRule="auto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Medidas de mitigación:</w:t>
            </w: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 Realizar pruebas anticipadas de la integración, registrar los resultados obtenidos y mantener controlados los escenarios de pago aprobado, rechazado y cancelado.</w:t>
            </w:r>
          </w:p>
          <w:p w:rsidR="00000000" w:rsidDel="00000000" w:rsidP="00000000" w:rsidRDefault="00000000" w:rsidRPr="00000000" w14:paraId="00000147">
            <w:pPr>
              <w:spacing w:after="240" w:before="240" w:lineRule="auto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El proyecto utilizará exclusivamente ambientes Sandbox y no procesará dinero real.</w:t>
            </w:r>
          </w:p>
          <w:p w:rsidR="00000000" w:rsidDel="00000000" w:rsidP="00000000" w:rsidRDefault="00000000" w:rsidRPr="00000000" w14:paraId="00000148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5.3 Riesgo R-03: Inconsistencias de inventario o stock</w:t>
            </w:r>
          </w:p>
          <w:p w:rsidR="00000000" w:rsidDel="00000000" w:rsidP="00000000" w:rsidRDefault="00000000" w:rsidRPr="00000000" w14:paraId="00000149">
            <w:pPr>
              <w:spacing w:after="240" w:before="240" w:lineRule="auto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Compras simultáneas, errores de validación o problemas durante el flujo de pago podrían generar diferencias entre el stock registrado y la disponibilidad esperada.</w:t>
            </w:r>
          </w:p>
          <w:p w:rsidR="00000000" w:rsidDel="00000000" w:rsidP="00000000" w:rsidRDefault="00000000" w:rsidRPr="00000000" w14:paraId="0000014A">
            <w:pPr>
              <w:spacing w:after="240" w:before="240" w:lineRule="auto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Impacto:</w:t>
            </w: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 Alto</w:t>
              <w:br w:type="textWrapping"/>
              <w:t xml:space="preserve">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Probabilidad:</w:t>
            </w: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 Media</w:t>
            </w:r>
          </w:p>
          <w:p w:rsidR="00000000" w:rsidDel="00000000" w:rsidP="00000000" w:rsidRDefault="00000000" w:rsidRPr="00000000" w14:paraId="0000014B">
            <w:pPr>
              <w:spacing w:after="240" w:before="240" w:lineRule="auto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Medidas de mitigación:</w:t>
            </w: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 Validar la disponibilidad antes del checkout, impedir valores negativos de stock y aplicar la reserva temporal definida para el proceso de compra.</w:t>
            </w:r>
          </w:p>
          <w:p w:rsidR="00000000" w:rsidDel="00000000" w:rsidP="00000000" w:rsidRDefault="00000000" w:rsidRPr="00000000" w14:paraId="0000014C">
            <w:pPr>
              <w:spacing w:after="240" w:before="240" w:lineRule="auto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La reserva tendrá una duración máxima de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6 minutos</w:t>
            </w: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 y deberá liberarse cuando expire o cuando el pago sea rechazado o cancelado.</w:t>
            </w:r>
          </w:p>
          <w:p w:rsidR="00000000" w:rsidDel="00000000" w:rsidP="00000000" w:rsidRDefault="00000000" w:rsidRPr="00000000" w14:paraId="0000014D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5.4 Riesgo R-04: Problemas de compatibilidad de la aplicación Android</w:t>
            </w:r>
          </w:p>
          <w:p w:rsidR="00000000" w:rsidDel="00000000" w:rsidP="00000000" w:rsidRDefault="00000000" w:rsidRPr="00000000" w14:paraId="0000014E">
            <w:pPr>
              <w:spacing w:after="240" w:before="240" w:lineRule="auto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La aplicación móvil podría presentar diferencias de funcionamiento o visualización entre los dispositivos utilizados durante las pruebas.</w:t>
            </w:r>
          </w:p>
          <w:p w:rsidR="00000000" w:rsidDel="00000000" w:rsidP="00000000" w:rsidRDefault="00000000" w:rsidRPr="00000000" w14:paraId="0000014F">
            <w:pPr>
              <w:spacing w:after="240" w:before="240" w:lineRule="auto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Impacto:</w:t>
            </w: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 Medio</w:t>
              <w:br w:type="textWrapping"/>
              <w:t xml:space="preserve">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Probabilidad:</w:t>
            </w: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 Media</w:t>
            </w:r>
          </w:p>
          <w:p w:rsidR="00000000" w:rsidDel="00000000" w:rsidP="00000000" w:rsidRDefault="00000000" w:rsidRPr="00000000" w14:paraId="00000150">
            <w:pPr>
              <w:spacing w:after="240" w:before="240" w:lineRule="auto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Medidas de mitigación:</w:t>
            </w: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 Realizar pruebas en los dispositivos Android disponibles para el equipo, revisar las principales pantallas y flujos antes de la demostración y corregir las incidencias que afecten el uso del MVP.</w:t>
            </w:r>
          </w:p>
          <w:p w:rsidR="00000000" w:rsidDel="00000000" w:rsidP="00000000" w:rsidRDefault="00000000" w:rsidRPr="00000000" w14:paraId="00000151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5.5 Riesgo R-05: Retrasos en la retroalimentación del mandante</w:t>
            </w:r>
          </w:p>
          <w:p w:rsidR="00000000" w:rsidDel="00000000" w:rsidP="00000000" w:rsidRDefault="00000000" w:rsidRPr="00000000" w14:paraId="00000152">
            <w:pPr>
              <w:spacing w:after="240" w:before="240" w:lineRule="auto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La disponibilidad del representante de SuMateCL puede afectar la resolución de dudas o validación de determinadas decisiones del proyecto.</w:t>
            </w:r>
          </w:p>
          <w:p w:rsidR="00000000" w:rsidDel="00000000" w:rsidP="00000000" w:rsidRDefault="00000000" w:rsidRPr="00000000" w14:paraId="00000153">
            <w:pPr>
              <w:spacing w:after="240" w:before="240" w:lineRule="auto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Impacto:</w:t>
            </w: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 Medio</w:t>
              <w:br w:type="textWrapping"/>
              <w:t xml:space="preserve">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Probabilidad:</w:t>
            </w: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 Media</w:t>
            </w:r>
          </w:p>
          <w:p w:rsidR="00000000" w:rsidDel="00000000" w:rsidP="00000000" w:rsidRDefault="00000000" w:rsidRPr="00000000" w14:paraId="00000154">
            <w:pPr>
              <w:spacing w:after="240" w:before="240" w:lineRule="auto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Medidas de mitigación:</w:t>
            </w: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 Mantener comunicación periódica con el mandante, registrar las dudas pendientes y priorizar las consultas que puedan afectar directamente el alcance o las funcionalidades principales.</w:t>
            </w:r>
          </w:p>
          <w:p w:rsidR="00000000" w:rsidDel="00000000" w:rsidP="00000000" w:rsidRDefault="00000000" w:rsidRPr="00000000" w14:paraId="00000155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5.6 Seguimiento de riesgos</w:t>
            </w:r>
          </w:p>
          <w:p w:rsidR="00000000" w:rsidDel="00000000" w:rsidP="00000000" w:rsidRDefault="00000000" w:rsidRPr="00000000" w14:paraId="00000156">
            <w:pPr>
              <w:spacing w:after="240" w:before="240" w:lineRule="auto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Los riesgos podrán revisarse durante el avance del proyecto y actualizarse si cambian sus condiciones, impacto o probabilidad.</w:t>
            </w:r>
          </w:p>
          <w:p w:rsidR="00000000" w:rsidDel="00000000" w:rsidP="00000000" w:rsidRDefault="00000000" w:rsidRPr="00000000" w14:paraId="00000157">
            <w:pPr>
              <w:spacing w:after="240" w:before="240" w:lineRule="auto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Cuando un riesgo afecte de manera relevante el alcance, cronograma, costo o calidad del proyecto, el equipo deberá evaluar las medidas necesarias y registrar los cambios correspondientes.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8"/>
        <w:tblpPr w:leftFromText="141" w:rightFromText="141" w:topFromText="0" w:bottomFromText="0" w:vertAnchor="text" w:horzAnchor="text" w:tblpX="3388" w:tblpY="17"/>
        <w:tblW w:w="8676.0" w:type="dxa"/>
        <w:jc w:val="left"/>
        <w:tblBorders>
          <w:top w:color="4f81bd" w:space="0" w:sz="4" w:val="single"/>
          <w:left w:color="4f81bd" w:space="0" w:sz="4" w:val="single"/>
          <w:bottom w:color="4f81bd" w:space="0" w:sz="4" w:val="single"/>
          <w:right w:color="4f81bd" w:space="0" w:sz="4" w:val="single"/>
        </w:tblBorders>
        <w:tblLayout w:type="fixed"/>
        <w:tblLook w:val="04A0"/>
      </w:tblPr>
      <w:tblGrid>
        <w:gridCol w:w="8676"/>
        <w:tblGridChange w:id="0">
          <w:tblGrid>
            <w:gridCol w:w="8676"/>
          </w:tblGrid>
        </w:tblGridChange>
      </w:tblGrid>
      <w:tr>
        <w:trPr>
          <w:cantSplit w:val="0"/>
          <w:trHeight w:val="410" w:hRule="atLeast"/>
          <w:tblHeader w:val="0"/>
        </w:trPr>
        <w:tc>
          <w:tcPr/>
          <w:p w:rsidR="00000000" w:rsidDel="00000000" w:rsidP="00000000" w:rsidRDefault="00000000" w:rsidRPr="00000000" w14:paraId="0000019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KPI Iniciales de Proyecto (Métricas de Calidad)</w:t>
            </w:r>
          </w:p>
        </w:tc>
      </w:tr>
      <w:tr>
        <w:trPr>
          <w:cantSplit w:val="0"/>
          <w:trHeight w:val="410" w:hRule="atLeast"/>
          <w:tblHeader w:val="0"/>
        </w:trPr>
        <w:tc>
          <w:tcPr/>
          <w:p w:rsidR="00000000" w:rsidDel="00000000" w:rsidP="00000000" w:rsidRDefault="00000000" w:rsidRPr="00000000" w14:paraId="00000193">
            <w:pPr>
              <w:pStyle w:val="Heading3"/>
              <w:keepNext w:val="0"/>
              <w:keepLines w:val="0"/>
              <w:rPr>
                <w:sz w:val="26"/>
                <w:szCs w:val="26"/>
              </w:rPr>
            </w:pPr>
            <w:bookmarkStart w:colFirst="0" w:colLast="0" w:name="_heading=h.asaj8nl13zzv" w:id="5"/>
            <w:bookmarkEnd w:id="5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4">
            <w:pPr>
              <w:spacing w:after="240" w:before="240" w:lineRule="auto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Los indicadores de calidad de GROWDER permitirán verificar el cumplimiento de los principales requerimientos funcionales y no funcionales definidos para el MVP durante las etapas de prueba y demostración académica.</w:t>
            </w:r>
          </w:p>
          <w:p w:rsidR="00000000" w:rsidDel="00000000" w:rsidP="00000000" w:rsidRDefault="00000000" w:rsidRPr="00000000" w14:paraId="00000195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6.1 KPI-01: Cumplimiento de funcionalidades principales</w:t>
            </w:r>
          </w:p>
          <w:p w:rsidR="00000000" w:rsidDel="00000000" w:rsidP="00000000" w:rsidRDefault="00000000" w:rsidRPr="00000000" w14:paraId="00000196">
            <w:pPr>
              <w:spacing w:after="240" w:before="240" w:lineRule="auto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Objetivo:</w:t>
            </w: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 Verificar que las funcionalidades correspondientes a los requerimientos RF01–RF07 puedan ejecutarse correctamente.</w:t>
            </w:r>
          </w:p>
          <w:p w:rsidR="00000000" w:rsidDel="00000000" w:rsidP="00000000" w:rsidRDefault="00000000" w:rsidRPr="00000000" w14:paraId="00000197">
            <w:pPr>
              <w:spacing w:after="240" w:before="240" w:lineRule="auto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Meta:</w:t>
            </w: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 Los principales flujos asociados a registro e inicio de sesión, catálogo, carrito, generación de pedidos, inventario, administración Web y consulta de estados deberán encontrarse disponibles para las pruebas del MVP.</w:t>
            </w:r>
          </w:p>
          <w:p w:rsidR="00000000" w:rsidDel="00000000" w:rsidP="00000000" w:rsidRDefault="00000000" w:rsidRPr="00000000" w14:paraId="00000198">
            <w:pPr>
              <w:spacing w:after="240" w:before="240" w:lineRule="auto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Las incidencias detectadas deberán registrarse y priorizarse según su impacto.</w:t>
            </w:r>
          </w:p>
          <w:p w:rsidR="00000000" w:rsidDel="00000000" w:rsidP="00000000" w:rsidRDefault="00000000" w:rsidRPr="00000000" w14:paraId="00000199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6.2 KPI-02: Tiempo de respuesta de operaciones principales</w:t>
            </w:r>
          </w:p>
          <w:p w:rsidR="00000000" w:rsidDel="00000000" w:rsidP="00000000" w:rsidRDefault="00000000" w:rsidRPr="00000000" w14:paraId="0000019A">
            <w:pPr>
              <w:spacing w:after="240" w:before="240" w:lineRule="auto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Objetivo:</w:t>
            </w: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 Evaluar el rendimiento de las operaciones más utilizadas por los usuarios.</w:t>
            </w:r>
          </w:p>
          <w:p w:rsidR="00000000" w:rsidDel="00000000" w:rsidP="00000000" w:rsidRDefault="00000000" w:rsidRPr="00000000" w14:paraId="0000019B">
            <w:pPr>
              <w:spacing w:after="240" w:before="240" w:lineRule="auto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Meta:</w:t>
            </w: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 Las principales operaciones del sistema deberán responder en un tiempo máximo aproximado de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3 segundos bajo condiciones normales de prueba</w:t>
            </w: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19C">
            <w:pPr>
              <w:spacing w:after="240" w:before="240" w:lineRule="auto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La medición podrá considerar acciones como autenticación, consulta del catálogo, visualización de pedidos y operaciones administrativas frecuentes.</w:t>
            </w:r>
          </w:p>
          <w:p w:rsidR="00000000" w:rsidDel="00000000" w:rsidP="00000000" w:rsidRDefault="00000000" w:rsidRPr="00000000" w14:paraId="0000019D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6.3 KPI-03: Control de acceso y seguridad</w:t>
            </w:r>
          </w:p>
          <w:p w:rsidR="00000000" w:rsidDel="00000000" w:rsidP="00000000" w:rsidRDefault="00000000" w:rsidRPr="00000000" w14:paraId="0000019E">
            <w:pPr>
              <w:spacing w:after="240" w:before="240" w:lineRule="auto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Objetivo:</w:t>
            </w: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 Comprobar que los usuarios accedan únicamente a la información y funcionalidades correspondientes a su rol.</w:t>
            </w:r>
          </w:p>
          <w:p w:rsidR="00000000" w:rsidDel="00000000" w:rsidP="00000000" w:rsidRDefault="00000000" w:rsidRPr="00000000" w14:paraId="0000019F">
            <w:pPr>
              <w:spacing w:after="240" w:before="240" w:lineRule="auto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Meta:</w:t>
            </w: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 Los casos de prueba definidos para Cliente, Trabajador de Bodega y Administrador deberán impedir accesos no autorizados.</w:t>
            </w:r>
          </w:p>
          <w:p w:rsidR="00000000" w:rsidDel="00000000" w:rsidP="00000000" w:rsidRDefault="00000000" w:rsidRPr="00000000" w14:paraId="000001A0">
            <w:pPr>
              <w:spacing w:after="240" w:before="240" w:lineRule="auto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Se verificará especialmente que un cliente pueda consultar únicamente sus propios pedidos y que las funciones administrativas se encuentren protegidas.</w:t>
            </w:r>
          </w:p>
          <w:p w:rsidR="00000000" w:rsidDel="00000000" w:rsidP="00000000" w:rsidRDefault="00000000" w:rsidRPr="00000000" w14:paraId="000001A1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6.4 KPI-04: Consistencia de inventario y stock</w:t>
            </w:r>
          </w:p>
          <w:p w:rsidR="00000000" w:rsidDel="00000000" w:rsidP="00000000" w:rsidRDefault="00000000" w:rsidRPr="00000000" w14:paraId="000001A2">
            <w:pPr>
              <w:spacing w:after="240" w:before="240" w:lineRule="auto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Objetivo:</w:t>
            </w: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 Verificar que el inventario mantenga un comportamiento coherente durante el proceso de compra.</w:t>
            </w:r>
          </w:p>
          <w:p w:rsidR="00000000" w:rsidDel="00000000" w:rsidP="00000000" w:rsidRDefault="00000000" w:rsidRPr="00000000" w14:paraId="000001A3">
            <w:pPr>
              <w:spacing w:after="240" w:before="240" w:lineRule="auto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Meta:</w:t>
            </w: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 El sistema no deberá permitir stock negativo y deberá validar la disponibilidad antes de confirmar una compra.</w:t>
            </w:r>
          </w:p>
          <w:p w:rsidR="00000000" w:rsidDel="00000000" w:rsidP="00000000" w:rsidRDefault="00000000" w:rsidRPr="00000000" w14:paraId="000001A4">
            <w:pPr>
              <w:spacing w:after="240" w:before="240" w:lineRule="auto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Las pruebas deberán considerar la reserva temporal de stock de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6 minutos</w:t>
            </w: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, además de su liberación en caso de expiración, rechazo o cancelación del pago.</w:t>
            </w:r>
          </w:p>
          <w:p w:rsidR="00000000" w:rsidDel="00000000" w:rsidP="00000000" w:rsidRDefault="00000000" w:rsidRPr="00000000" w14:paraId="000001A5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6.5 KPI-05: Compatibilidad de la solución</w:t>
            </w:r>
          </w:p>
          <w:p w:rsidR="00000000" w:rsidDel="00000000" w:rsidP="00000000" w:rsidRDefault="00000000" w:rsidRPr="00000000" w14:paraId="000001A6">
            <w:pPr>
              <w:spacing w:after="240" w:before="240" w:lineRule="auto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Objetivo:</w:t>
            </w: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 Verificar el funcionamiento de GROWDER en los ambientes definidos para el MVP.</w:t>
            </w:r>
          </w:p>
          <w:p w:rsidR="00000000" w:rsidDel="00000000" w:rsidP="00000000" w:rsidRDefault="00000000" w:rsidRPr="00000000" w14:paraId="000001A7">
            <w:pPr>
              <w:spacing w:after="240" w:before="240" w:lineRule="auto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Meta:</w:t>
            </w: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 La plataforma Web deberá permitir ejecutar sus principales funcionalidades en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Google Chrome y Microsoft Edge</w:t>
            </w: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, mientras que la aplicación móvil deberá funcionar correctamente en los dispositivos Android utilizados durante las pruebas.</w:t>
            </w:r>
          </w:p>
          <w:p w:rsidR="00000000" w:rsidDel="00000000" w:rsidP="00000000" w:rsidRDefault="00000000" w:rsidRPr="00000000" w14:paraId="000001A8">
            <w:pPr>
              <w:spacing w:after="240" w:before="240" w:lineRule="auto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No se considera compatibilidad con iOS dentro del alcance del proyecto.</w:t>
            </w:r>
          </w:p>
          <w:p w:rsidR="00000000" w:rsidDel="00000000" w:rsidP="00000000" w:rsidRDefault="00000000" w:rsidRPr="00000000" w14:paraId="000001A9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6.6 KPI-06: Incidencias críticas para la demostración</w:t>
            </w:r>
          </w:p>
          <w:p w:rsidR="00000000" w:rsidDel="00000000" w:rsidP="00000000" w:rsidRDefault="00000000" w:rsidRPr="00000000" w14:paraId="000001AA">
            <w:pPr>
              <w:spacing w:after="240" w:before="240" w:lineRule="auto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Objetivo:</w:t>
            </w: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 Controlar los defectos que puedan impedir la ejecución de los principales flujos del MVP.</w:t>
            </w:r>
          </w:p>
          <w:p w:rsidR="00000000" w:rsidDel="00000000" w:rsidP="00000000" w:rsidRDefault="00000000" w:rsidRPr="00000000" w14:paraId="000001AB">
            <w:pPr>
              <w:spacing w:after="240" w:before="240" w:lineRule="auto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Meta:</w:t>
            </w: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 No deberán existir incidencias bloqueantes conocidas que impidan realizar la demostración de las funcionalidades principales al momento de la presentación final.</w:t>
            </w:r>
          </w:p>
          <w:p w:rsidR="00000000" w:rsidDel="00000000" w:rsidP="00000000" w:rsidRDefault="00000000" w:rsidRPr="00000000" w14:paraId="000001AC">
            <w:pPr>
              <w:spacing w:after="240" w:before="240" w:lineRule="auto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Las incidencias menores que no impidan la demostración podrán mantenerse registradas como mejoras o correcciones pendientes.</w:t>
            </w:r>
          </w:p>
          <w:p w:rsidR="00000000" w:rsidDel="00000000" w:rsidP="00000000" w:rsidRDefault="00000000" w:rsidRPr="00000000" w14:paraId="000001AD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6.7 KPI-07: Consistencia de documentación y solución</w:t>
            </w:r>
          </w:p>
          <w:p w:rsidR="00000000" w:rsidDel="00000000" w:rsidP="00000000" w:rsidRDefault="00000000" w:rsidRPr="00000000" w14:paraId="000001AE">
            <w:pPr>
              <w:spacing w:after="240" w:before="240" w:lineRule="auto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Objetivo:</w:t>
            </w: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 Verificar que la documentación del proyecto represente adecuadamente el alcance y funcionamiento de la versión demostrada de GROWDER.</w:t>
            </w:r>
          </w:p>
          <w:p w:rsidR="00000000" w:rsidDel="00000000" w:rsidP="00000000" w:rsidRDefault="00000000" w:rsidRPr="00000000" w14:paraId="000001AF">
            <w:pPr>
              <w:spacing w:after="240" w:before="240" w:lineRule="auto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Meta:</w:t>
            </w: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 Los requerimientos, alcance, arquitectura, reglas de negocio, pruebas y demás documentos principales deberán mantenerse coherentes con las funcionalidades incluidas en el MVP.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9" w:type="default"/>
      <w:type w:val="nextPage"/>
      <w:pgSz w:h="20140" w:w="15560" w:orient="portrait"/>
      <w:pgMar w:bottom="280" w:top="1720" w:left="740" w:right="460" w:header="1191" w:footer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Calibri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B2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6719888</wp:posOffset>
              </wp:positionH>
              <wp:positionV relativeFrom="page">
                <wp:posOffset>746443</wp:posOffset>
              </wp:positionV>
              <wp:extent cx="1879600" cy="331470"/>
              <wp:effectExtent b="0" l="0" r="0" t="0"/>
              <wp:wrapNone/>
              <wp:docPr id="5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4410963" y="3619028"/>
                        <a:ext cx="1870075" cy="3219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56.99999809265137"/>
                            <w:ind w:left="20" w:right="0" w:firstLine="2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Verdana" w:cs="Verdana" w:eastAsia="Verdana" w:hAnsi="Verdana"/>
                              <w:b w:val="0"/>
                              <w:i w:val="1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Nombre del Proyecto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1891.0000610351562" w:right="0" w:firstLine="1891.0000610351562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Verdana" w:cs="Verdana" w:eastAsia="Verdana" w:hAnsi="Verdana"/>
                              <w:b w:val="0"/>
                              <w:i w:val="1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1"/>
                              <w:smallCaps w:val="0"/>
                              <w:strike w:val="0"/>
                              <w:color w:val="000000"/>
                              <w:sz w:val="20"/>
                              <w:vertAlign w:val="baseline"/>
                            </w:rPr>
                            <w:t xml:space="preserve">Versión 01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6719888</wp:posOffset>
              </wp:positionH>
              <wp:positionV relativeFrom="page">
                <wp:posOffset>746443</wp:posOffset>
              </wp:positionV>
              <wp:extent cx="1879600" cy="331470"/>
              <wp:effectExtent b="0" l="0" r="0" t="0"/>
              <wp:wrapNone/>
              <wp:docPr id="5" name="image1.png"/>
              <a:graphic>
                <a:graphicData uri="http://schemas.openxmlformats.org/drawingml/2006/picture">
                  <pic:pic>
                    <pic:nvPicPr>
                      <pic:cNvPr id="0" name="image1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879600" cy="33147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B3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"/>
        <w:szCs w:val="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ind w:left="3950"/>
    </w:pPr>
    <w:rPr>
      <w:sz w:val="84"/>
      <w:szCs w:val="84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uiPriority w:val="2"/>
    <w:semiHidden w:val="1"/>
    <w:unhideWhenUsed w:val="1"/>
    <w:qFormat w:val="1"/>
    <w:tblPr>
      <w:tblInd w:w="0.0" w:type="dxa"/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Textoindependiente">
    <w:name w:val="Body Text"/>
    <w:basedOn w:val="Normal"/>
    <w:uiPriority w:val="1"/>
    <w:qFormat w:val="1"/>
  </w:style>
  <w:style w:type="paragraph" w:styleId="Prrafodelista">
    <w:name w:val="List Paragraph"/>
    <w:basedOn w:val="Normal"/>
    <w:uiPriority w:val="1"/>
    <w:qFormat w:val="1"/>
    <w:pPr>
      <w:ind w:left="1321" w:hanging="1220"/>
    </w:pPr>
  </w:style>
  <w:style w:type="paragraph" w:styleId="TableParagraph" w:customStyle="1">
    <w:name w:val="Table Paragraph"/>
    <w:basedOn w:val="Normal"/>
    <w:uiPriority w:val="1"/>
    <w:qFormat w:val="1"/>
  </w:style>
  <w:style w:type="paragraph" w:styleId="Encabezado">
    <w:name w:val="header"/>
    <w:basedOn w:val="Normal"/>
    <w:link w:val="EncabezadoCar"/>
    <w:uiPriority w:val="99"/>
    <w:unhideWhenUsed w:val="1"/>
    <w:rsid w:val="00BE0AEC"/>
    <w:pPr>
      <w:tabs>
        <w:tab w:val="center" w:pos="4419"/>
        <w:tab w:val="right" w:pos="8838"/>
      </w:tabs>
    </w:pPr>
  </w:style>
  <w:style w:type="character" w:styleId="EncabezadoCar" w:customStyle="1">
    <w:name w:val="Encabezado Car"/>
    <w:basedOn w:val="Fuentedeprrafopredeter"/>
    <w:link w:val="Encabezado"/>
    <w:uiPriority w:val="99"/>
    <w:rsid w:val="00BE0AEC"/>
    <w:rPr>
      <w:rFonts w:ascii="Arial" w:cs="Arial" w:eastAsia="Arial" w:hAnsi="Arial"/>
      <w:lang w:val="es-ES"/>
    </w:rPr>
  </w:style>
  <w:style w:type="paragraph" w:styleId="Piedepgina">
    <w:name w:val="footer"/>
    <w:basedOn w:val="Normal"/>
    <w:link w:val="PiedepginaCar"/>
    <w:uiPriority w:val="99"/>
    <w:unhideWhenUsed w:val="1"/>
    <w:rsid w:val="00BE0AEC"/>
    <w:pPr>
      <w:tabs>
        <w:tab w:val="center" w:pos="4419"/>
        <w:tab w:val="right" w:pos="8838"/>
      </w:tabs>
    </w:pPr>
  </w:style>
  <w:style w:type="character" w:styleId="PiedepginaCar" w:customStyle="1">
    <w:name w:val="Pie de página Car"/>
    <w:basedOn w:val="Fuentedeprrafopredeter"/>
    <w:link w:val="Piedepgina"/>
    <w:uiPriority w:val="99"/>
    <w:rsid w:val="00BE0AEC"/>
    <w:rPr>
      <w:rFonts w:ascii="Arial" w:cs="Arial" w:eastAsia="Arial" w:hAnsi="Arial"/>
      <w:lang w:val="es-ES"/>
    </w:rPr>
  </w:style>
  <w:style w:type="table" w:styleId="Tablaconcuadrcula">
    <w:name w:val="Table Grid"/>
    <w:basedOn w:val="Tablanormal"/>
    <w:uiPriority w:val="39"/>
    <w:rsid w:val="00BE0AEC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Tabladelista3-nfasis1">
    <w:name w:val="List Table 3 Accent 1"/>
    <w:basedOn w:val="Tablanormal"/>
    <w:uiPriority w:val="48"/>
    <w:rsid w:val="00B87346"/>
    <w:tblPr>
      <w:tblStyleRowBandSize w:val="1"/>
      <w:tblStyleColBandSize w:val="1"/>
      <w:tblBorders>
        <w:top w:color="4f81bd" w:space="0" w:sz="4" w:themeColor="accent1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</w:tblBorders>
    </w:tblPr>
    <w:tblStylePr w:type="firstRow"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rPr>
        <w:b w:val="1"/>
        <w:bCs w:val="1"/>
      </w:rPr>
      <w:tblPr/>
      <w:tcPr>
        <w:tcBorders>
          <w:top w:color="4f81bd" w:space="0" w:sz="4" w:themeColor="accent1" w:val="double"/>
        </w:tcBorders>
        <w:shd w:color="auto" w:fill="ffffff" w:themeFill="background1" w:val="clear"/>
      </w:tcPr>
    </w:tblStylePr>
    <w:tblStylePr w:type="firstCol">
      <w:rPr>
        <w:b w:val="1"/>
        <w:bCs w:val="1"/>
      </w:rPr>
      <w:tblPr/>
      <w:tcPr>
        <w:tcBorders>
          <w:right w:space="0" w:sz="0" w:val="nil"/>
        </w:tcBorders>
        <w:shd w:color="auto" w:fill="ffffff" w:themeFill="background1" w:val="clear"/>
      </w:tcPr>
    </w:tblStylePr>
    <w:tblStylePr w:type="lastCol">
      <w:rPr>
        <w:b w:val="1"/>
        <w:bCs w:val="1"/>
      </w:rPr>
      <w:tblPr/>
      <w:tcPr>
        <w:tcBorders>
          <w:left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color="4f81bd" w:space="0" w:sz="4" w:themeColor="accent1" w:val="single"/>
          <w:right w:color="4f81bd" w:space="0" w:sz="4" w:themeColor="accent1" w:val="single"/>
        </w:tcBorders>
      </w:tcPr>
    </w:tblStylePr>
    <w:tblStylePr w:type="band1Horz">
      <w:tblPr/>
      <w:tcPr>
        <w:tcBorders>
          <w:top w:color="4f81bd" w:space="0" w:sz="4" w:themeColor="accent1" w:val="single"/>
          <w:bottom w:color="4f81bd" w:space="0" w:sz="4" w:themeColor="accent1" w:val="single"/>
          <w:insideH w:space="0" w:sz="0" w:val="nil"/>
        </w:tcBorders>
      </w:tcPr>
    </w:tblStylePr>
    <w:tblStylePr w:type="neCell">
      <w:tblPr/>
      <w:tcPr>
        <w:tcBorders>
          <w:left w:space="0" w:sz="0" w:val="nil"/>
          <w:bottom w:space="0" w:sz="0" w:val="nil"/>
        </w:tcBorders>
      </w:tcPr>
    </w:tblStylePr>
    <w:tblStylePr w:type="nwCell">
      <w:tblPr/>
      <w:tcPr>
        <w:tcBorders>
          <w:bottom w:space="0" w:sz="0" w:val="nil"/>
          <w:right w:space="0" w:sz="0" w:val="nil"/>
        </w:tcBorders>
      </w:tcPr>
    </w:tblStylePr>
    <w:tblStylePr w:type="seCell">
      <w:tblPr/>
      <w:tcPr>
        <w:tcBorders>
          <w:top w:color="4f81bd" w:space="0" w:sz="4" w:themeColor="accent1" w:val="double"/>
          <w:left w:space="0" w:sz="0" w:val="nil"/>
        </w:tcBorders>
      </w:tcPr>
    </w:tblStylePr>
    <w:tblStylePr w:type="swCell">
      <w:tblPr/>
      <w:tcPr>
        <w:tcBorders>
          <w:top w:color="4f81bd" w:space="0" w:sz="4" w:themeColor="accent1" w:val="double"/>
          <w:right w:space="0" w:sz="0" w:val="nil"/>
        </w:tcBorders>
      </w:tcPr>
    </w:tblStylePr>
  </w:style>
  <w:style w:type="table" w:styleId="Tablaconcuadrcula7concolores-nfasis1">
    <w:name w:val="Grid Table 7 Colorful Accent 1"/>
    <w:basedOn w:val="Tablanormal"/>
    <w:uiPriority w:val="52"/>
    <w:rsid w:val="00B87346"/>
    <w:rPr>
      <w:color w:val="365f91" w:themeColor="accent1" w:themeShade="0000BF"/>
    </w:rPr>
    <w:tblPr>
      <w:tblStyleRowBandSize w:val="1"/>
      <w:tblStyleColBandSize w:val="1"/>
      <w:tblBorders>
        <w:top w:color="95b3d7" w:space="0" w:sz="4" w:themeColor="accent1" w:themeTint="000099" w:val="single"/>
        <w:left w:color="95b3d7" w:space="0" w:sz="4" w:themeColor="accent1" w:themeTint="000099" w:val="single"/>
        <w:bottom w:color="95b3d7" w:space="0" w:sz="4" w:themeColor="accent1" w:themeTint="000099" w:val="single"/>
        <w:right w:color="95b3d7" w:space="0" w:sz="4" w:themeColor="accent1" w:themeTint="000099" w:val="single"/>
        <w:insideH w:color="95b3d7" w:space="0" w:sz="4" w:themeColor="accent1" w:themeTint="000099" w:val="single"/>
        <w:insideV w:color="95b3d7" w:space="0" w:sz="4" w:themeColor="accent1" w:themeTint="000099" w:val="single"/>
      </w:tblBorders>
    </w:tbl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</w:rPr>
      <w:tblPr/>
      <w:tcPr>
        <w:tcBorders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 w:val="1"/>
        <w:iCs w:val="1"/>
      </w:rPr>
      <w:tblPr/>
      <w:tcPr>
        <w:tcBorders>
          <w:top w:space="0" w:sz="0" w:val="nil"/>
          <w:left w:space="0" w:sz="0" w:val="nil"/>
          <w:bottom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i w:val="1"/>
        <w:iCs w:val="1"/>
      </w:rPr>
      <w:tblPr/>
      <w:tcPr>
        <w:tcBorders>
          <w:top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shd w:color="auto" w:fill="dbe5f1" w:themeFill="accent1" w:themeFillTint="000033" w:val="clear"/>
      </w:tcPr>
    </w:tblStylePr>
    <w:tblStylePr w:type="band1Horz">
      <w:tblPr/>
      <w:tcPr>
        <w:shd w:color="auto" w:fill="dbe5f1" w:themeFill="accent1" w:themeFillTint="000033" w:val="clear"/>
      </w:tcPr>
    </w:tblStylePr>
    <w:tblStylePr w:type="neCell">
      <w:tblPr/>
      <w:tcPr>
        <w:tcBorders>
          <w:bottom w:color="95b3d7" w:space="0" w:sz="4" w:themeColor="accent1" w:themeTint="000099" w:val="single"/>
        </w:tcBorders>
      </w:tcPr>
    </w:tblStylePr>
    <w:tblStylePr w:type="nwCell">
      <w:tblPr/>
      <w:tcPr>
        <w:tcBorders>
          <w:bottom w:color="95b3d7" w:space="0" w:sz="4" w:themeColor="accent1" w:themeTint="000099" w:val="single"/>
        </w:tcBorders>
      </w:tcPr>
    </w:tblStylePr>
    <w:tblStylePr w:type="seCell">
      <w:tblPr/>
      <w:tcPr>
        <w:tcBorders>
          <w:top w:color="95b3d7" w:space="0" w:sz="4" w:themeColor="accent1" w:themeTint="000099" w:val="single"/>
        </w:tcBorders>
      </w:tcPr>
    </w:tblStylePr>
    <w:tblStylePr w:type="swCell">
      <w:tblPr/>
      <w:tcPr>
        <w:tcBorders>
          <w:top w:color="95b3d7" w:space="0" w:sz="4" w:themeColor="accent1" w:themeTint="000099" w:val="single"/>
        </w:tcBorders>
      </w:tcPr>
    </w:tblStylePr>
  </w:style>
  <w:style w:type="table" w:styleId="Tabladelista7concolores-nfasis1">
    <w:name w:val="List Table 7 Colorful Accent 1"/>
    <w:basedOn w:val="Tablanormal"/>
    <w:uiPriority w:val="52"/>
    <w:rsid w:val="00B87346"/>
    <w:rPr>
      <w:color w:val="365f91" w:themeColor="accent1" w:themeShade="0000BF"/>
    </w:r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4f81bd" w:space="0" w:sz="4" w:themeColor="accent1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4f81bd" w:space="0" w:sz="4" w:themeColor="accent1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4f81bd" w:space="0" w:sz="4" w:themeColor="accent1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4f81bd" w:space="0" w:sz="4" w:themeColor="accent1" w:val="single"/>
        </w:tcBorders>
        <w:shd w:color="auto" w:fill="ffffff" w:themeFill="background1" w:val="clear"/>
      </w:tcPr>
    </w:tblStylePr>
    <w:tblStylePr w:type="band1Vert">
      <w:tblPr/>
      <w:tcPr>
        <w:shd w:color="auto" w:fill="dbe5f1" w:themeFill="accent1" w:themeFillTint="000033" w:val="clear"/>
      </w:tcPr>
    </w:tblStylePr>
    <w:tblStylePr w:type="band1Horz">
      <w:tblPr/>
      <w:tcPr>
        <w:shd w:color="auto" w:fill="dbe5f1" w:themeFill="accent1" w:themeFillTint="000033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rPr>
      <w:color w:val="366091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dbe5f1" w:val="clear"/>
      </w:tcPr>
    </w:tblStylePr>
    <w:tblStylePr w:type="band1Vert">
      <w:tcPr>
        <w:shd w:fill="dbe5f1" w:val="clear"/>
      </w:tcPr>
    </w:tblStylePr>
    <w:tblStylePr w:type="firstCol">
      <w:pPr>
        <w:jc w:val="right"/>
      </w:pPr>
      <w:rPr>
        <w:i w:val="1"/>
        <w:iCs w:val="1"/>
      </w:rPr>
      <w:tcPr>
        <w:tcBorders>
          <w:top w:color="000000" w:space="0" w:sz="0" w:val="nil"/>
          <w:left w:color="000000" w:space="0" w:sz="0" w:val="nil"/>
          <w:bottom w:color="000000" w:space="0" w:sz="0" w:val="nil"/>
          <w:insideH w:color="000000" w:space="0" w:sz="0" w:val="nil"/>
          <w:insideV w:color="000000" w:space="0" w:sz="0" w:val="nil"/>
        </w:tcBorders>
        <w:shd w:fill="ffffff" w:val="clear"/>
      </w:tcPr>
    </w:tblStylePr>
    <w:tblStylePr w:type="firstRow">
      <w:rPr>
        <w:b w:val="1"/>
        <w:bCs w:val="1"/>
      </w:rPr>
      <w:tcPr>
        <w:tcBorders>
          <w:top w:color="000000" w:space="0" w:sz="0" w:val="nil"/>
          <w:left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cBorders>
        <w:shd w:fill="ffffff" w:val="clear"/>
      </w:tcPr>
    </w:tblStylePr>
    <w:tblStylePr w:type="lastCol">
      <w:rPr>
        <w:i w:val="1"/>
        <w:iCs w:val="1"/>
      </w:rPr>
      <w:tcPr>
        <w:tcBorders>
          <w:top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cBorders>
        <w:shd w:fill="ffffff" w:val="clear"/>
      </w:tcPr>
    </w:tblStylePr>
    <w:tblStylePr w:type="lastRow">
      <w:rPr>
        <w:b w:val="1"/>
        <w:bCs w:val="1"/>
      </w:rPr>
      <w:tcPr>
        <w:tcBorders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cBorders>
        <w:shd w:fill="ffffff" w:val="clear"/>
      </w:tcPr>
    </w:tblStylePr>
    <w:tblStylePr w:type="neCell">
      <w:tcPr>
        <w:tcBorders>
          <w:bottom w:color="95b3d7" w:space="0" w:sz="4" w:val="single"/>
        </w:tcBorders>
      </w:tcPr>
    </w:tblStylePr>
    <w:tblStylePr w:type="nwCell">
      <w:tcPr>
        <w:tcBorders>
          <w:bottom w:color="95b3d7" w:space="0" w:sz="4" w:val="single"/>
        </w:tcBorders>
      </w:tcPr>
    </w:tblStylePr>
    <w:tblStylePr w:type="seCell">
      <w:tcPr>
        <w:tcBorders>
          <w:top w:color="95b3d7" w:space="0" w:sz="4" w:val="single"/>
        </w:tcBorders>
      </w:tcPr>
    </w:tblStylePr>
    <w:tblStylePr w:type="swCell">
      <w:tcPr>
        <w:tcBorders>
          <w:top w:color="95b3d7" w:space="0" w:sz="4" w:val="single"/>
        </w:tcBorders>
      </w:tcPr>
    </w:tblStylePr>
  </w:style>
  <w:style w:type="table" w:styleId="Table2">
    <w:basedOn w:val="TableNormal"/>
    <w:rPr>
      <w:color w:val="366091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dbe5f1" w:val="clear"/>
      </w:tcPr>
    </w:tblStylePr>
    <w:tblStylePr w:type="band1Vert">
      <w:tcPr>
        <w:shd w:fill="dbe5f1" w:val="clear"/>
      </w:tcPr>
    </w:tblStylePr>
    <w:tblStylePr w:type="firstCol">
      <w:pPr>
        <w:jc w:val="right"/>
      </w:pPr>
      <w:rPr>
        <w:i w:val="1"/>
        <w:iCs w:val="1"/>
      </w:rPr>
      <w:tcPr>
        <w:tcBorders>
          <w:top w:color="000000" w:space="0" w:sz="0" w:val="nil"/>
          <w:left w:color="000000" w:space="0" w:sz="0" w:val="nil"/>
          <w:bottom w:color="000000" w:space="0" w:sz="0" w:val="nil"/>
          <w:insideH w:color="000000" w:space="0" w:sz="0" w:val="nil"/>
          <w:insideV w:color="000000" w:space="0" w:sz="0" w:val="nil"/>
        </w:tcBorders>
        <w:shd w:fill="ffffff" w:val="clear"/>
      </w:tcPr>
    </w:tblStylePr>
    <w:tblStylePr w:type="firstRow">
      <w:rPr>
        <w:b w:val="1"/>
        <w:bCs w:val="1"/>
      </w:rPr>
      <w:tcPr>
        <w:tcBorders>
          <w:top w:color="000000" w:space="0" w:sz="0" w:val="nil"/>
          <w:left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cBorders>
        <w:shd w:fill="ffffff" w:val="clear"/>
      </w:tcPr>
    </w:tblStylePr>
    <w:tblStylePr w:type="lastCol">
      <w:rPr>
        <w:i w:val="1"/>
        <w:iCs w:val="1"/>
      </w:rPr>
      <w:tcPr>
        <w:tcBorders>
          <w:top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cBorders>
        <w:shd w:fill="ffffff" w:val="clear"/>
      </w:tcPr>
    </w:tblStylePr>
    <w:tblStylePr w:type="lastRow">
      <w:rPr>
        <w:b w:val="1"/>
        <w:bCs w:val="1"/>
      </w:rPr>
      <w:tcPr>
        <w:tcBorders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cBorders>
        <w:shd w:fill="ffffff" w:val="clear"/>
      </w:tcPr>
    </w:tblStylePr>
    <w:tblStylePr w:type="neCell">
      <w:tcPr>
        <w:tcBorders>
          <w:bottom w:color="95b3d7" w:space="0" w:sz="4" w:val="single"/>
        </w:tcBorders>
      </w:tcPr>
    </w:tblStylePr>
    <w:tblStylePr w:type="nwCell">
      <w:tcPr>
        <w:tcBorders>
          <w:bottom w:color="95b3d7" w:space="0" w:sz="4" w:val="single"/>
        </w:tcBorders>
      </w:tcPr>
    </w:tblStylePr>
    <w:tblStylePr w:type="seCell">
      <w:tcPr>
        <w:tcBorders>
          <w:top w:color="95b3d7" w:space="0" w:sz="4" w:val="single"/>
        </w:tcBorders>
      </w:tcPr>
    </w:tblStylePr>
    <w:tblStylePr w:type="swCell">
      <w:tcPr>
        <w:tcBorders>
          <w:top w:color="95b3d7" w:space="0" w:sz="4" w:val="single"/>
        </w:tcBorders>
      </w:tcPr>
    </w:tblStyle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4" w:val="single"/>
          <w:bottom w:color="4f81bd" w:space="0" w:sz="4" w:val="single"/>
          <w:insideH w:color="000000" w:space="0" w:sz="0" w:val="nil"/>
        </w:tcBorders>
      </w:tcPr>
    </w:tblStylePr>
    <w:tblStylePr w:type="band1Vert">
      <w:tcPr>
        <w:tcBorders>
          <w:left w:color="4f81bd" w:space="0" w:sz="4" w:val="single"/>
          <w:right w:color="4f81bd" w:space="0" w:sz="4" w:val="single"/>
        </w:tcBorders>
      </w:tcPr>
    </w:tblStylePr>
    <w:tblStylePr w:type="firstCol">
      <w:rPr>
        <w:b w:val="1"/>
        <w:bCs w:val="1"/>
      </w:rPr>
      <w:tcPr>
        <w:tcBorders>
          <w:right w:color="000000" w:space="0" w:sz="0" w:val="nil"/>
        </w:tcBorders>
        <w:shd w:fill="ffffff" w:val="clear"/>
      </w:tcPr>
    </w:tblStylePr>
    <w:tblStylePr w:type="firstRow">
      <w:rPr>
        <w:b w:val="1"/>
        <w:bCs w:val="1"/>
        <w:color w:val="ffffff"/>
      </w:rPr>
      <w:tcPr>
        <w:shd w:fill="4f81bd" w:val="clear"/>
      </w:tcPr>
    </w:tblStylePr>
    <w:tblStylePr w:type="lastCol">
      <w:rPr>
        <w:b w:val="1"/>
        <w:bCs w:val="1"/>
      </w:rPr>
      <w:tcPr>
        <w:tcBorders>
          <w:left w:color="000000" w:space="0" w:sz="0" w:val="nil"/>
        </w:tcBorders>
        <w:shd w:fill="ffffff" w:val="clear"/>
      </w:tcPr>
    </w:tblStylePr>
    <w:tblStylePr w:type="lastRow">
      <w:rPr>
        <w:b w:val="1"/>
        <w:bCs w:val="1"/>
      </w:rPr>
      <w:tcPr>
        <w:tcBorders>
          <w:top w:color="4f81bd" w:space="0" w:sz="4" w:val="single"/>
        </w:tcBorders>
        <w:shd w:fill="ffffff" w:val="clear"/>
      </w:tcPr>
    </w:tblStylePr>
    <w:tblStylePr w:type="neCell">
      <w:tcPr>
        <w:tcBorders>
          <w:left w:color="000000" w:space="0" w:sz="0" w:val="nil"/>
          <w:bottom w:color="000000" w:space="0" w:sz="0" w:val="nil"/>
        </w:tcBorders>
      </w:tcPr>
    </w:tblStylePr>
    <w:tblStylePr w:type="nwCell">
      <w:tcPr>
        <w:tcBorders>
          <w:bottom w:color="000000" w:space="0" w:sz="0" w:val="nil"/>
          <w:right w:color="000000" w:space="0" w:sz="0" w:val="nil"/>
        </w:tcBorders>
      </w:tcPr>
    </w:tblStylePr>
    <w:tblStylePr w:type="seCell">
      <w:tcPr>
        <w:tcBorders>
          <w:top w:color="4f81bd" w:space="0" w:sz="4" w:val="single"/>
          <w:left w:color="000000" w:space="0" w:sz="0" w:val="nil"/>
        </w:tcBorders>
      </w:tcPr>
    </w:tblStylePr>
    <w:tblStylePr w:type="swCell">
      <w:tcPr>
        <w:tcBorders>
          <w:top w:color="4f81bd" w:space="0" w:sz="4" w:val="single"/>
          <w:right w:color="000000" w:space="0" w:sz="0" w:val="nil"/>
        </w:tcBorders>
      </w:tcPr>
    </w:tblStyle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4" w:val="single"/>
          <w:bottom w:color="4f81bd" w:space="0" w:sz="4" w:val="single"/>
          <w:insideH w:color="000000" w:space="0" w:sz="0" w:val="nil"/>
        </w:tcBorders>
      </w:tcPr>
    </w:tblStylePr>
    <w:tblStylePr w:type="band1Vert">
      <w:tcPr>
        <w:tcBorders>
          <w:left w:color="4f81bd" w:space="0" w:sz="4" w:val="single"/>
          <w:right w:color="4f81bd" w:space="0" w:sz="4" w:val="single"/>
        </w:tcBorders>
      </w:tcPr>
    </w:tblStylePr>
    <w:tblStylePr w:type="firstCol">
      <w:rPr>
        <w:b w:val="1"/>
        <w:bCs w:val="1"/>
      </w:rPr>
      <w:tcPr>
        <w:tcBorders>
          <w:right w:color="000000" w:space="0" w:sz="0" w:val="nil"/>
        </w:tcBorders>
        <w:shd w:fill="ffffff" w:val="clear"/>
      </w:tcPr>
    </w:tblStylePr>
    <w:tblStylePr w:type="firstRow">
      <w:rPr>
        <w:b w:val="1"/>
        <w:bCs w:val="1"/>
        <w:color w:val="ffffff"/>
      </w:rPr>
      <w:tcPr>
        <w:shd w:fill="4f81bd" w:val="clear"/>
      </w:tcPr>
    </w:tblStylePr>
    <w:tblStylePr w:type="lastCol">
      <w:rPr>
        <w:b w:val="1"/>
        <w:bCs w:val="1"/>
      </w:rPr>
      <w:tcPr>
        <w:tcBorders>
          <w:left w:color="000000" w:space="0" w:sz="0" w:val="nil"/>
        </w:tcBorders>
        <w:shd w:fill="ffffff" w:val="clear"/>
      </w:tcPr>
    </w:tblStylePr>
    <w:tblStylePr w:type="lastRow">
      <w:rPr>
        <w:b w:val="1"/>
        <w:bCs w:val="1"/>
      </w:rPr>
      <w:tcPr>
        <w:tcBorders>
          <w:top w:color="4f81bd" w:space="0" w:sz="4" w:val="single"/>
        </w:tcBorders>
        <w:shd w:fill="ffffff" w:val="clear"/>
      </w:tcPr>
    </w:tblStylePr>
    <w:tblStylePr w:type="neCell">
      <w:tcPr>
        <w:tcBorders>
          <w:left w:color="000000" w:space="0" w:sz="0" w:val="nil"/>
          <w:bottom w:color="000000" w:space="0" w:sz="0" w:val="nil"/>
        </w:tcBorders>
      </w:tcPr>
    </w:tblStylePr>
    <w:tblStylePr w:type="nwCell">
      <w:tcPr>
        <w:tcBorders>
          <w:bottom w:color="000000" w:space="0" w:sz="0" w:val="nil"/>
          <w:right w:color="000000" w:space="0" w:sz="0" w:val="nil"/>
        </w:tcBorders>
      </w:tcPr>
    </w:tblStylePr>
    <w:tblStylePr w:type="seCell">
      <w:tcPr>
        <w:tcBorders>
          <w:top w:color="4f81bd" w:space="0" w:sz="4" w:val="single"/>
          <w:left w:color="000000" w:space="0" w:sz="0" w:val="nil"/>
        </w:tcBorders>
      </w:tcPr>
    </w:tblStylePr>
    <w:tblStylePr w:type="swCell">
      <w:tcPr>
        <w:tcBorders>
          <w:top w:color="4f81bd" w:space="0" w:sz="4" w:val="single"/>
          <w:right w:color="000000" w:space="0" w:sz="0" w:val="nil"/>
        </w:tcBorders>
      </w:tcPr>
    </w:tblStyle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4" w:val="single"/>
          <w:bottom w:color="4f81bd" w:space="0" w:sz="4" w:val="single"/>
          <w:insideH w:color="000000" w:space="0" w:sz="0" w:val="nil"/>
        </w:tcBorders>
      </w:tcPr>
    </w:tblStylePr>
    <w:tblStylePr w:type="band1Vert">
      <w:tcPr>
        <w:tcBorders>
          <w:left w:color="4f81bd" w:space="0" w:sz="4" w:val="single"/>
          <w:right w:color="4f81bd" w:space="0" w:sz="4" w:val="single"/>
        </w:tcBorders>
      </w:tcPr>
    </w:tblStylePr>
    <w:tblStylePr w:type="firstCol">
      <w:rPr>
        <w:b w:val="1"/>
        <w:bCs w:val="1"/>
      </w:rPr>
      <w:tcPr>
        <w:tcBorders>
          <w:right w:color="000000" w:space="0" w:sz="0" w:val="nil"/>
        </w:tcBorders>
        <w:shd w:fill="ffffff" w:val="clear"/>
      </w:tcPr>
    </w:tblStylePr>
    <w:tblStylePr w:type="firstRow">
      <w:rPr>
        <w:b w:val="1"/>
        <w:bCs w:val="1"/>
        <w:color w:val="ffffff"/>
      </w:rPr>
      <w:tcPr>
        <w:shd w:fill="4f81bd" w:val="clear"/>
      </w:tcPr>
    </w:tblStylePr>
    <w:tblStylePr w:type="lastCol">
      <w:rPr>
        <w:b w:val="1"/>
        <w:bCs w:val="1"/>
      </w:rPr>
      <w:tcPr>
        <w:tcBorders>
          <w:left w:color="000000" w:space="0" w:sz="0" w:val="nil"/>
        </w:tcBorders>
        <w:shd w:fill="ffffff" w:val="clear"/>
      </w:tcPr>
    </w:tblStylePr>
    <w:tblStylePr w:type="lastRow">
      <w:rPr>
        <w:b w:val="1"/>
        <w:bCs w:val="1"/>
      </w:rPr>
      <w:tcPr>
        <w:tcBorders>
          <w:top w:color="4f81bd" w:space="0" w:sz="4" w:val="single"/>
        </w:tcBorders>
        <w:shd w:fill="ffffff" w:val="clear"/>
      </w:tcPr>
    </w:tblStylePr>
    <w:tblStylePr w:type="neCell">
      <w:tcPr>
        <w:tcBorders>
          <w:left w:color="000000" w:space="0" w:sz="0" w:val="nil"/>
          <w:bottom w:color="000000" w:space="0" w:sz="0" w:val="nil"/>
        </w:tcBorders>
      </w:tcPr>
    </w:tblStylePr>
    <w:tblStylePr w:type="nwCell">
      <w:tcPr>
        <w:tcBorders>
          <w:bottom w:color="000000" w:space="0" w:sz="0" w:val="nil"/>
          <w:right w:color="000000" w:space="0" w:sz="0" w:val="nil"/>
        </w:tcBorders>
      </w:tcPr>
    </w:tblStylePr>
    <w:tblStylePr w:type="seCell">
      <w:tcPr>
        <w:tcBorders>
          <w:top w:color="4f81bd" w:space="0" w:sz="4" w:val="single"/>
          <w:left w:color="000000" w:space="0" w:sz="0" w:val="nil"/>
        </w:tcBorders>
      </w:tcPr>
    </w:tblStylePr>
    <w:tblStylePr w:type="swCell">
      <w:tcPr>
        <w:tcBorders>
          <w:top w:color="4f81bd" w:space="0" w:sz="4" w:val="single"/>
          <w:right w:color="000000" w:space="0" w:sz="0" w:val="nil"/>
        </w:tcBorders>
      </w:tcPr>
    </w:tblStyle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4" w:val="single"/>
          <w:bottom w:color="4f81bd" w:space="0" w:sz="4" w:val="single"/>
          <w:insideH w:color="000000" w:space="0" w:sz="0" w:val="nil"/>
        </w:tcBorders>
      </w:tcPr>
    </w:tblStylePr>
    <w:tblStylePr w:type="band1Vert">
      <w:tcPr>
        <w:tcBorders>
          <w:left w:color="4f81bd" w:space="0" w:sz="4" w:val="single"/>
          <w:right w:color="4f81bd" w:space="0" w:sz="4" w:val="single"/>
        </w:tcBorders>
      </w:tcPr>
    </w:tblStylePr>
    <w:tblStylePr w:type="firstCol">
      <w:rPr>
        <w:b w:val="1"/>
        <w:bCs w:val="1"/>
      </w:rPr>
      <w:tcPr>
        <w:tcBorders>
          <w:right w:color="000000" w:space="0" w:sz="0" w:val="nil"/>
        </w:tcBorders>
        <w:shd w:fill="ffffff" w:val="clear"/>
      </w:tcPr>
    </w:tblStylePr>
    <w:tblStylePr w:type="firstRow">
      <w:rPr>
        <w:b w:val="1"/>
        <w:bCs w:val="1"/>
        <w:color w:val="ffffff"/>
      </w:rPr>
      <w:tcPr>
        <w:shd w:fill="4f81bd" w:val="clear"/>
      </w:tcPr>
    </w:tblStylePr>
    <w:tblStylePr w:type="lastCol">
      <w:rPr>
        <w:b w:val="1"/>
        <w:bCs w:val="1"/>
      </w:rPr>
      <w:tcPr>
        <w:tcBorders>
          <w:left w:color="000000" w:space="0" w:sz="0" w:val="nil"/>
        </w:tcBorders>
        <w:shd w:fill="ffffff" w:val="clear"/>
      </w:tcPr>
    </w:tblStylePr>
    <w:tblStylePr w:type="lastRow">
      <w:rPr>
        <w:b w:val="1"/>
        <w:bCs w:val="1"/>
      </w:rPr>
      <w:tcPr>
        <w:tcBorders>
          <w:top w:color="4f81bd" w:space="0" w:sz="4" w:val="single"/>
        </w:tcBorders>
        <w:shd w:fill="ffffff" w:val="clear"/>
      </w:tcPr>
    </w:tblStylePr>
    <w:tblStylePr w:type="neCell">
      <w:tcPr>
        <w:tcBorders>
          <w:left w:color="000000" w:space="0" w:sz="0" w:val="nil"/>
          <w:bottom w:color="000000" w:space="0" w:sz="0" w:val="nil"/>
        </w:tcBorders>
      </w:tcPr>
    </w:tblStylePr>
    <w:tblStylePr w:type="nwCell">
      <w:tcPr>
        <w:tcBorders>
          <w:bottom w:color="000000" w:space="0" w:sz="0" w:val="nil"/>
          <w:right w:color="000000" w:space="0" w:sz="0" w:val="nil"/>
        </w:tcBorders>
      </w:tcPr>
    </w:tblStylePr>
    <w:tblStylePr w:type="seCell">
      <w:tcPr>
        <w:tcBorders>
          <w:top w:color="4f81bd" w:space="0" w:sz="4" w:val="single"/>
          <w:left w:color="000000" w:space="0" w:sz="0" w:val="nil"/>
        </w:tcBorders>
      </w:tcPr>
    </w:tblStylePr>
    <w:tblStylePr w:type="swCell">
      <w:tcPr>
        <w:tcBorders>
          <w:top w:color="4f81bd" w:space="0" w:sz="4" w:val="single"/>
          <w:right w:color="000000" w:space="0" w:sz="0" w:val="nil"/>
        </w:tcBorders>
      </w:tcPr>
    </w:tblStyle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4" w:val="single"/>
          <w:bottom w:color="4f81bd" w:space="0" w:sz="4" w:val="single"/>
          <w:insideH w:color="000000" w:space="0" w:sz="0" w:val="nil"/>
        </w:tcBorders>
      </w:tcPr>
    </w:tblStylePr>
    <w:tblStylePr w:type="band1Vert">
      <w:tcPr>
        <w:tcBorders>
          <w:left w:color="4f81bd" w:space="0" w:sz="4" w:val="single"/>
          <w:right w:color="4f81bd" w:space="0" w:sz="4" w:val="single"/>
        </w:tcBorders>
      </w:tcPr>
    </w:tblStylePr>
    <w:tblStylePr w:type="firstCol">
      <w:rPr>
        <w:b w:val="1"/>
        <w:bCs w:val="1"/>
      </w:rPr>
      <w:tcPr>
        <w:tcBorders>
          <w:right w:color="000000" w:space="0" w:sz="0" w:val="nil"/>
        </w:tcBorders>
        <w:shd w:fill="ffffff" w:val="clear"/>
      </w:tcPr>
    </w:tblStylePr>
    <w:tblStylePr w:type="firstRow">
      <w:rPr>
        <w:b w:val="1"/>
        <w:bCs w:val="1"/>
        <w:color w:val="ffffff"/>
      </w:rPr>
      <w:tcPr>
        <w:shd w:fill="4f81bd" w:val="clear"/>
      </w:tcPr>
    </w:tblStylePr>
    <w:tblStylePr w:type="lastCol">
      <w:rPr>
        <w:b w:val="1"/>
        <w:bCs w:val="1"/>
      </w:rPr>
      <w:tcPr>
        <w:tcBorders>
          <w:left w:color="000000" w:space="0" w:sz="0" w:val="nil"/>
        </w:tcBorders>
        <w:shd w:fill="ffffff" w:val="clear"/>
      </w:tcPr>
    </w:tblStylePr>
    <w:tblStylePr w:type="lastRow">
      <w:rPr>
        <w:b w:val="1"/>
        <w:bCs w:val="1"/>
      </w:rPr>
      <w:tcPr>
        <w:tcBorders>
          <w:top w:color="4f81bd" w:space="0" w:sz="4" w:val="single"/>
        </w:tcBorders>
        <w:shd w:fill="ffffff" w:val="clear"/>
      </w:tcPr>
    </w:tblStylePr>
    <w:tblStylePr w:type="neCell">
      <w:tcPr>
        <w:tcBorders>
          <w:left w:color="000000" w:space="0" w:sz="0" w:val="nil"/>
          <w:bottom w:color="000000" w:space="0" w:sz="0" w:val="nil"/>
        </w:tcBorders>
      </w:tcPr>
    </w:tblStylePr>
    <w:tblStylePr w:type="nwCell">
      <w:tcPr>
        <w:tcBorders>
          <w:bottom w:color="000000" w:space="0" w:sz="0" w:val="nil"/>
          <w:right w:color="000000" w:space="0" w:sz="0" w:val="nil"/>
        </w:tcBorders>
      </w:tcPr>
    </w:tblStylePr>
    <w:tblStylePr w:type="seCell">
      <w:tcPr>
        <w:tcBorders>
          <w:top w:color="4f81bd" w:space="0" w:sz="4" w:val="single"/>
          <w:left w:color="000000" w:space="0" w:sz="0" w:val="nil"/>
        </w:tcBorders>
      </w:tcPr>
    </w:tblStylePr>
    <w:tblStylePr w:type="swCell">
      <w:tcPr>
        <w:tcBorders>
          <w:top w:color="4f81bd" w:space="0" w:sz="4" w:val="single"/>
          <w:right w:color="000000" w:space="0" w:sz="0" w:val="nil"/>
        </w:tcBorders>
      </w:tcPr>
    </w:tblStyle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4" w:val="single"/>
          <w:bottom w:color="4f81bd" w:space="0" w:sz="4" w:val="single"/>
          <w:insideH w:color="000000" w:space="0" w:sz="0" w:val="nil"/>
        </w:tcBorders>
      </w:tcPr>
    </w:tblStylePr>
    <w:tblStylePr w:type="band1Vert">
      <w:tcPr>
        <w:tcBorders>
          <w:left w:color="4f81bd" w:space="0" w:sz="4" w:val="single"/>
          <w:right w:color="4f81bd" w:space="0" w:sz="4" w:val="single"/>
        </w:tcBorders>
      </w:tcPr>
    </w:tblStylePr>
    <w:tblStylePr w:type="firstCol">
      <w:rPr>
        <w:b w:val="1"/>
        <w:bCs w:val="1"/>
      </w:rPr>
      <w:tcPr>
        <w:tcBorders>
          <w:right w:color="000000" w:space="0" w:sz="0" w:val="nil"/>
        </w:tcBorders>
        <w:shd w:fill="ffffff" w:val="clear"/>
      </w:tcPr>
    </w:tblStylePr>
    <w:tblStylePr w:type="firstRow">
      <w:rPr>
        <w:b w:val="1"/>
        <w:bCs w:val="1"/>
        <w:color w:val="ffffff"/>
      </w:rPr>
      <w:tcPr>
        <w:shd w:fill="4f81bd" w:val="clear"/>
      </w:tcPr>
    </w:tblStylePr>
    <w:tblStylePr w:type="lastCol">
      <w:rPr>
        <w:b w:val="1"/>
        <w:bCs w:val="1"/>
      </w:rPr>
      <w:tcPr>
        <w:tcBorders>
          <w:left w:color="000000" w:space="0" w:sz="0" w:val="nil"/>
        </w:tcBorders>
        <w:shd w:fill="ffffff" w:val="clear"/>
      </w:tcPr>
    </w:tblStylePr>
    <w:tblStylePr w:type="lastRow">
      <w:rPr>
        <w:b w:val="1"/>
        <w:bCs w:val="1"/>
      </w:rPr>
      <w:tcPr>
        <w:tcBorders>
          <w:top w:color="4f81bd" w:space="0" w:sz="4" w:val="single"/>
        </w:tcBorders>
        <w:shd w:fill="ffffff" w:val="clear"/>
      </w:tcPr>
    </w:tblStylePr>
    <w:tblStylePr w:type="neCell">
      <w:tcPr>
        <w:tcBorders>
          <w:left w:color="000000" w:space="0" w:sz="0" w:val="nil"/>
          <w:bottom w:color="000000" w:space="0" w:sz="0" w:val="nil"/>
        </w:tcBorders>
      </w:tcPr>
    </w:tblStylePr>
    <w:tblStylePr w:type="nwCell">
      <w:tcPr>
        <w:tcBorders>
          <w:bottom w:color="000000" w:space="0" w:sz="0" w:val="nil"/>
          <w:right w:color="000000" w:space="0" w:sz="0" w:val="nil"/>
        </w:tcBorders>
      </w:tcPr>
    </w:tblStylePr>
    <w:tblStylePr w:type="seCell">
      <w:tcPr>
        <w:tcBorders>
          <w:top w:color="4f81bd" w:space="0" w:sz="4" w:val="single"/>
          <w:left w:color="000000" w:space="0" w:sz="0" w:val="nil"/>
        </w:tcBorders>
      </w:tcPr>
    </w:tblStylePr>
    <w:tblStylePr w:type="swCell">
      <w:tcPr>
        <w:tcBorders>
          <w:top w:color="4f81bd" w:space="0" w:sz="4" w:val="single"/>
          <w:right w:color="000000" w:space="0" w:sz="0" w:val="nil"/>
        </w:tcBorders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njBTvsSFI8X6UVy6Q7T2cBu2e8g==">CgMxLjAyDmgucGp0N3htOXloYXlyMg5oLm5rdjBwZWs5ZWVsaDIOaC4xejZkNm9ycml4YzYyDmguYzJiand1MWlzcGhtMg5oLmdjZXlmcWVzcmtiMTIOaC5hc2FqOG5sMTN6enY4AHIhMTJXMzFjeXZzcHZuZ1AwenZuSTNhZjM1UXNmRkFhRXVx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2022-05-21T23:00:00Z</dcterms:created>
  <dc:creator>Domingo Sanz Saez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2019-07-07T00:00:00Z</vt:filetime>
  </property>
  <property fmtid="{D5CDD505-2E9C-101B-9397-08002B2CF9AE}" pid="3" name="Creator">
    <vt:lpwstr>pdftk 2.02 - www.pdftk.com</vt:lpwstr>
  </property>
  <property fmtid="{D5CDD505-2E9C-101B-9397-08002B2CF9AE}" pid="4" name="LastSaved">
    <vt:filetime>2022-05-21T00:00:00Z</vt:filetime>
  </property>
</Properties>
</file>