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2E7D32"/>
          <w:sz w:val="20"/>
        </w:rPr>
        <w:t>PANDUAN OPERASIONAL &amp; ARSITEKTUR BISNIS</w:t>
      </w:r>
    </w:p>
    <w:p>
      <w:pPr>
        <w:spacing w:before="40" w:after="80"/>
        <w:jc w:val="center"/>
      </w:pPr>
      <w:r>
        <w:rPr>
          <w:rFonts w:ascii="Arial" w:hAnsi="Arial"/>
          <w:b/>
          <w:color w:val="1E5631"/>
          <w:sz w:val="40"/>
        </w:rPr>
        <w:t>PENJELASAN ALUR KERJA SISTEM GEMASMART</w:t>
        <w:br/>
        <w:t>(SIBIBIT)</w:t>
      </w:r>
    </w:p>
    <w:p>
      <w:pPr>
        <w:spacing w:before="0" w:after="360"/>
        <w:jc w:val="center"/>
      </w:pPr>
      <w:r>
        <w:rPr>
          <w:rFonts w:ascii="Arial" w:hAnsi="Arial"/>
          <w:color w:val="6C757D"/>
          <w:sz w:val="22"/>
        </w:rPr>
        <w:t>Sistem Informasi Manajemen Bantuan Bibit, Pendampingan Lapangan,</w:t>
        <w:br/>
        <w:t>dan Monitoring Kemandirian Pangan Keluarga Binaan Kabupaten Sumbawa</w:t>
      </w:r>
    </w:p>
    <w:p>
      <w:pPr>
        <w:spacing w:after="120"/>
      </w:pPr>
    </w:p>
    <w:p>
      <w:pPr>
        <w:pStyle w:val="Heading1"/>
        <w:spacing w:before="280" w:after="120"/>
      </w:pPr>
      <w:r>
        <w:rPr>
          <w:rFonts w:ascii="Arial" w:hAnsi="Arial"/>
          <w:color w:val="1E5631"/>
        </w:rPr>
        <w:t>1. PENDAHULUAN &amp; TUJUAN SISTEM</w:t>
      </w:r>
    </w:p>
    <w:p>
      <w:pPr>
        <w:spacing w:line="276" w:lineRule="auto" w:after="120"/>
      </w:pPr>
      <w:r>
        <w:t>Sistem GemaSmart (Sibibit) merupakan platform digital terintegrasi yang dikembangkan untuk mengelola, memvalidasi, mendistribusikan, dan memantau bantuan bibit pertanian secara akuntabel, transparan, dan tepat sasaran. Program ini difokuskan pada pengentasan kemiskinan ekstrem serta pencegahan stunting melalui intervensi ketahanan pangan keluarga.</w:t>
      </w:r>
    </w:p>
    <w:p>
      <w:pPr>
        <w:spacing w:line="276" w:lineRule="auto" w:after="240"/>
      </w:pPr>
      <w:r>
        <w:t>Berbeda dengan program bantuan pertanian konvensional yang menyasar kelompok tani (poktan), GemaSmart mengadopsi pendekatan berbasis Keluarga Penerima Manfaat (KPM / KK Binaan). Dengan pendekatan ini, setiap rumah tangga miskin dan rentan dipetakan berdasarkan desil kesejahteraan (P3KE/DTKS), didampingi oleh akademisi/mahasiswa perguruan tinggi mitra, serta dipantau tingkat pertumbuhan bibitnya (survival rate) hingga panen.</w:t>
      </w:r>
    </w:p>
    <w:p>
      <w:pPr>
        <w:pStyle w:val="Heading1"/>
        <w:spacing w:before="280" w:after="120"/>
      </w:pPr>
      <w:r>
        <w:rPr>
          <w:rFonts w:ascii="Arial" w:hAnsi="Arial"/>
          <w:color w:val="1E5631"/>
        </w:rPr>
        <w:t>2. STRUKTUR PENGGUNA &amp; HAK AKSES (5 AKTOR UTAMA)</w:t>
      </w:r>
    </w:p>
    <w:p>
      <w:pPr>
        <w:spacing w:line="276" w:lineRule="auto" w:after="160"/>
      </w:pPr>
      <w:r>
        <w:t>Sistem ini melibatkan 5 aktor utama dengan batasan wewenang (Role-Based Access Control) yang terstruktur guna mencegah duplikasi dan kebocoran bantuan:</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5631"/>
            <w:tcMar>
              <w:top w:w="140" w:type="dxa"/>
              <w:bottom w:w="140" w:type="dxa"/>
              <w:left w:w="160" w:type="dxa"/>
              <w:right w:w="160" w:type="dxa"/>
            </w:tcMar>
          </w:tcPr>
          <w:p>
            <w:pPr>
              <w:jc w:val="center"/>
            </w:pPr>
            <w:r>
              <w:rPr>
                <w:rFonts w:ascii="Arial" w:hAnsi="Arial"/>
                <w:b/>
                <w:color w:val="FFFFFF"/>
                <w:sz w:val="19"/>
              </w:rPr>
              <w:t>Peran Pengguna</w:t>
            </w:r>
          </w:p>
        </w:tc>
        <w:tc>
          <w:tcPr>
            <w:tcW w:type="dxa" w:w="2592"/>
            <w:shd w:val="clear" w:color="auto" w:fill="1E5631"/>
            <w:tcMar>
              <w:top w:w="140" w:type="dxa"/>
              <w:bottom w:w="140" w:type="dxa"/>
              <w:left w:w="160" w:type="dxa"/>
              <w:right w:w="160" w:type="dxa"/>
            </w:tcMar>
          </w:tcPr>
          <w:p>
            <w:pPr>
              <w:jc w:val="center"/>
            </w:pPr>
            <w:r>
              <w:rPr>
                <w:rFonts w:ascii="Arial" w:hAnsi="Arial"/>
                <w:b/>
                <w:color w:val="FFFFFF"/>
                <w:sz w:val="19"/>
              </w:rPr>
              <w:t>Aktor Pelaksana</w:t>
            </w:r>
          </w:p>
        </w:tc>
        <w:tc>
          <w:tcPr>
            <w:tcW w:type="dxa" w:w="4608"/>
            <w:shd w:val="clear" w:color="auto" w:fill="1E5631"/>
            <w:tcMar>
              <w:top w:w="140" w:type="dxa"/>
              <w:bottom w:w="140" w:type="dxa"/>
              <w:left w:w="160" w:type="dxa"/>
              <w:right w:w="160" w:type="dxa"/>
            </w:tcMar>
          </w:tcPr>
          <w:p>
            <w:pPr>
              <w:jc w:val="center"/>
            </w:pPr>
            <w:r>
              <w:rPr>
                <w:rFonts w:ascii="Arial" w:hAnsi="Arial"/>
                <w:b/>
                <w:color w:val="FFFFFF"/>
                <w:sz w:val="19"/>
              </w:rPr>
              <w:t>Tanggung Jawab &amp; Wewenang Utama</w:t>
            </w:r>
          </w:p>
        </w:tc>
      </w:tr>
      <w:tr>
        <w:tc>
          <w:tcPr>
            <w:tcW w:type="dxa" w:w="2592"/>
            <w:shd w:val="clear" w:color="auto" w:fill="F8F9FA"/>
            <w:tcMar>
              <w:top w:w="120" w:type="dxa"/>
              <w:bottom w:w="120" w:type="dxa"/>
              <w:left w:w="140" w:type="dxa"/>
              <w:right w:w="140" w:type="dxa"/>
            </w:tcMar>
          </w:tcPr>
          <w:p>
            <w:pPr>
              <w:spacing w:line="276" w:lineRule="auto"/>
              <w:jc w:val="left"/>
            </w:pPr>
            <w:r>
              <w:rPr>
                <w:rFonts w:ascii="Arial" w:hAnsi="Arial"/>
                <w:b/>
                <w:sz w:val="18"/>
              </w:rPr>
              <w:t>Pemerintah Daerah</w:t>
              <w:br/>
              <w:t>(Pemda)</w:t>
            </w:r>
          </w:p>
        </w:tc>
        <w:tc>
          <w:tcPr>
            <w:tcW w:type="dxa" w:w="2592"/>
            <w:shd w:val="clear" w:color="auto" w:fill="F8F9FA"/>
            <w:tcMar>
              <w:top w:w="120" w:type="dxa"/>
              <w:bottom w:w="120" w:type="dxa"/>
              <w:left w:w="140" w:type="dxa"/>
              <w:right w:w="140" w:type="dxa"/>
            </w:tcMar>
          </w:tcPr>
          <w:p>
            <w:pPr>
              <w:spacing w:line="276" w:lineRule="auto"/>
              <w:jc w:val="left"/>
            </w:pPr>
            <w:r>
              <w:rPr>
                <w:rFonts w:ascii="Arial" w:hAnsi="Arial"/>
                <w:sz w:val="18"/>
              </w:rPr>
              <w:t>Dinas Pertanian / Ketahanan Pangan Kab. Sumbawa</w:t>
            </w:r>
          </w:p>
        </w:tc>
        <w:tc>
          <w:tcPr>
            <w:tcW w:type="dxa" w:w="4608"/>
            <w:shd w:val="clear" w:color="auto" w:fill="F8F9FA"/>
            <w:tcMar>
              <w:top w:w="120" w:type="dxa"/>
              <w:bottom w:w="120" w:type="dxa"/>
              <w:left w:w="140" w:type="dxa"/>
              <w:right w:w="140" w:type="dxa"/>
            </w:tcMar>
          </w:tcPr>
          <w:p>
            <w:pPr>
              <w:spacing w:line="276" w:lineRule="auto"/>
              <w:jc w:val="left"/>
            </w:pPr>
            <w:r>
              <w:rPr>
                <w:rFonts w:ascii="Arial" w:hAnsi="Arial"/>
                <w:sz w:val="18"/>
              </w:rPr>
              <w:t>Menetapkan kuota alokasi bibit per kecamatan, menyetujui approval final CPCL, memantau peta geospasial GIS, grafik capaian kecamatan, dan audit anomali sistem (FR-24).</w:t>
            </w:r>
          </w:p>
        </w:tc>
      </w:tr>
      <w:tr>
        <w:tc>
          <w:tcPr>
            <w:tcW w:type="dxa" w:w="2592"/>
            <w:shd w:val="clear" w:color="auto" w:fill="FFFFFF"/>
            <w:tcMar>
              <w:top w:w="120" w:type="dxa"/>
              <w:bottom w:w="120" w:type="dxa"/>
              <w:left w:w="140" w:type="dxa"/>
              <w:right w:w="140" w:type="dxa"/>
            </w:tcMar>
          </w:tcPr>
          <w:p>
            <w:pPr>
              <w:spacing w:line="276" w:lineRule="auto"/>
              <w:jc w:val="left"/>
            </w:pPr>
            <w:r>
              <w:rPr>
                <w:rFonts w:ascii="Arial" w:hAnsi="Arial"/>
                <w:b/>
                <w:sz w:val="18"/>
              </w:rPr>
              <w:t>Kampus Mitra</w:t>
            </w:r>
          </w:p>
        </w:tc>
        <w:tc>
          <w:tcPr>
            <w:tcW w:type="dxa" w:w="2592"/>
            <w:shd w:val="clear" w:color="auto" w:fill="FFFFFF"/>
            <w:tcMar>
              <w:top w:w="120" w:type="dxa"/>
              <w:bottom w:w="120" w:type="dxa"/>
              <w:left w:w="140" w:type="dxa"/>
              <w:right w:w="140" w:type="dxa"/>
            </w:tcMar>
          </w:tcPr>
          <w:p>
            <w:pPr>
              <w:spacing w:line="276" w:lineRule="auto"/>
              <w:jc w:val="left"/>
            </w:pPr>
            <w:r>
              <w:rPr>
                <w:rFonts w:ascii="Arial" w:hAnsi="Arial"/>
                <w:sz w:val="18"/>
              </w:rPr>
              <w:t>Perguruan Tinggi Mitra (LPPM / Koordinator DPL)</w:t>
            </w:r>
          </w:p>
        </w:tc>
        <w:tc>
          <w:tcPr>
            <w:tcW w:type="dxa" w:w="4608"/>
            <w:shd w:val="clear" w:color="auto" w:fill="FFFFFF"/>
            <w:tcMar>
              <w:top w:w="120" w:type="dxa"/>
              <w:bottom w:w="120" w:type="dxa"/>
              <w:left w:w="140" w:type="dxa"/>
              <w:right w:w="140" w:type="dxa"/>
            </w:tcMar>
          </w:tcPr>
          <w:p>
            <w:pPr>
              <w:spacing w:line="276" w:lineRule="auto"/>
              <w:jc w:val="left"/>
            </w:pPr>
            <w:r>
              <w:rPr>
                <w:rFonts w:ascii="Arial" w:hAnsi="Arial"/>
                <w:sz w:val="18"/>
              </w:rPr>
              <w:t>Mengorganisir penugasan pendamping lapangan dan validator, memantau sebaran keluarga binaan, serta menyusun dan mengekspor dokumen SPJ &amp; Laporan Dampingan resmi PDF.</w:t>
            </w:r>
          </w:p>
        </w:tc>
      </w:tr>
      <w:tr>
        <w:tc>
          <w:tcPr>
            <w:tcW w:type="dxa" w:w="2592"/>
            <w:shd w:val="clear" w:color="auto" w:fill="F8F9FA"/>
            <w:tcMar>
              <w:top w:w="120" w:type="dxa"/>
              <w:bottom w:w="120" w:type="dxa"/>
              <w:left w:w="140" w:type="dxa"/>
              <w:right w:w="140" w:type="dxa"/>
            </w:tcMar>
          </w:tcPr>
          <w:p>
            <w:pPr>
              <w:spacing w:line="276" w:lineRule="auto"/>
              <w:jc w:val="left"/>
            </w:pPr>
            <w:r>
              <w:rPr>
                <w:rFonts w:ascii="Arial" w:hAnsi="Arial"/>
                <w:b/>
                <w:sz w:val="18"/>
              </w:rPr>
              <w:t>Validator Kampus</w:t>
            </w:r>
          </w:p>
        </w:tc>
        <w:tc>
          <w:tcPr>
            <w:tcW w:type="dxa" w:w="2592"/>
            <w:shd w:val="clear" w:color="auto" w:fill="F8F9FA"/>
            <w:tcMar>
              <w:top w:w="120" w:type="dxa"/>
              <w:bottom w:w="120" w:type="dxa"/>
              <w:left w:w="140" w:type="dxa"/>
              <w:right w:w="140" w:type="dxa"/>
            </w:tcMar>
          </w:tcPr>
          <w:p>
            <w:pPr>
              <w:spacing w:line="276" w:lineRule="auto"/>
              <w:jc w:val="left"/>
            </w:pPr>
            <w:r>
              <w:rPr>
                <w:rFonts w:ascii="Arial" w:hAnsi="Arial"/>
                <w:sz w:val="18"/>
              </w:rPr>
              <w:t>Dosen Pembimbing Lapangan (DPL)</w:t>
            </w:r>
          </w:p>
        </w:tc>
        <w:tc>
          <w:tcPr>
            <w:tcW w:type="dxa" w:w="4608"/>
            <w:shd w:val="clear" w:color="auto" w:fill="F8F9FA"/>
            <w:tcMar>
              <w:top w:w="120" w:type="dxa"/>
              <w:bottom w:w="120" w:type="dxa"/>
              <w:left w:w="140" w:type="dxa"/>
              <w:right w:w="140" w:type="dxa"/>
            </w:tcMar>
          </w:tcPr>
          <w:p>
            <w:pPr>
              <w:spacing w:line="276" w:lineRule="auto"/>
              <w:jc w:val="left"/>
            </w:pPr>
            <w:r>
              <w:rPr>
                <w:rFonts w:ascii="Arial" w:hAnsi="Arial"/>
                <w:sz w:val="18"/>
              </w:rPr>
              <w:t>Memeriksa antrean hasil survei lapangan dari pendamping, melaksanakan uji petik kelayakan dokumen dan lahan, serta memberikan rekomendasi setuju/revisi sebelum diajukan ke Pemda.</w:t>
            </w:r>
          </w:p>
        </w:tc>
      </w:tr>
      <w:tr>
        <w:tc>
          <w:tcPr>
            <w:tcW w:type="dxa" w:w="2592"/>
            <w:shd w:val="clear" w:color="auto" w:fill="FFFFFF"/>
            <w:tcMar>
              <w:top w:w="120" w:type="dxa"/>
              <w:bottom w:w="120" w:type="dxa"/>
              <w:left w:w="140" w:type="dxa"/>
              <w:right w:w="140" w:type="dxa"/>
            </w:tcMar>
          </w:tcPr>
          <w:p>
            <w:pPr>
              <w:spacing w:line="276" w:lineRule="auto"/>
              <w:jc w:val="left"/>
            </w:pPr>
            <w:r>
              <w:rPr>
                <w:rFonts w:ascii="Arial" w:hAnsi="Arial"/>
                <w:b/>
                <w:sz w:val="18"/>
              </w:rPr>
              <w:t>Pendamping Lapangan</w:t>
            </w:r>
          </w:p>
        </w:tc>
        <w:tc>
          <w:tcPr>
            <w:tcW w:type="dxa" w:w="2592"/>
            <w:shd w:val="clear" w:color="auto" w:fill="FFFFFF"/>
            <w:tcMar>
              <w:top w:w="120" w:type="dxa"/>
              <w:bottom w:w="120" w:type="dxa"/>
              <w:left w:w="140" w:type="dxa"/>
              <w:right w:w="140" w:type="dxa"/>
            </w:tcMar>
          </w:tcPr>
          <w:p>
            <w:pPr>
              <w:spacing w:line="276" w:lineRule="auto"/>
              <w:jc w:val="left"/>
            </w:pPr>
            <w:r>
              <w:rPr>
                <w:rFonts w:ascii="Arial" w:hAnsi="Arial"/>
                <w:sz w:val="18"/>
              </w:rPr>
              <w:t>Surveyor / Mahasiswa KKN-Tematik / PPL</w:t>
            </w:r>
          </w:p>
        </w:tc>
        <w:tc>
          <w:tcPr>
            <w:tcW w:type="dxa" w:w="4608"/>
            <w:shd w:val="clear" w:color="auto" w:fill="FFFFFF"/>
            <w:tcMar>
              <w:top w:w="120" w:type="dxa"/>
              <w:bottom w:w="120" w:type="dxa"/>
              <w:left w:w="140" w:type="dxa"/>
              <w:right w:w="140" w:type="dxa"/>
            </w:tcMar>
          </w:tcPr>
          <w:p>
            <w:pPr>
              <w:spacing w:line="276" w:lineRule="auto"/>
              <w:jc w:val="left"/>
            </w:pPr>
            <w:r>
              <w:rPr>
                <w:rFonts w:ascii="Arial" w:hAnsi="Arial"/>
                <w:sz w:val="18"/>
              </w:rPr>
              <w:t>Melakukan verifikasi faktual calon penerima (NIK, koordinat, lahan), mendampingi penyaluran bibit, memantau tumbuh kembang secara berkala, dan mencatat skoring kemandirian.</w:t>
            </w:r>
          </w:p>
        </w:tc>
      </w:tr>
      <w:tr>
        <w:tc>
          <w:tcPr>
            <w:tcW w:type="dxa" w:w="2592"/>
            <w:shd w:val="clear" w:color="auto" w:fill="F8F9FA"/>
            <w:tcMar>
              <w:top w:w="120" w:type="dxa"/>
              <w:bottom w:w="120" w:type="dxa"/>
              <w:left w:w="140" w:type="dxa"/>
              <w:right w:w="140" w:type="dxa"/>
            </w:tcMar>
          </w:tcPr>
          <w:p>
            <w:pPr>
              <w:spacing w:line="276" w:lineRule="auto"/>
              <w:jc w:val="left"/>
            </w:pPr>
            <w:r>
              <w:rPr>
                <w:rFonts w:ascii="Arial" w:hAnsi="Arial"/>
                <w:b/>
                <w:sz w:val="18"/>
              </w:rPr>
              <w:t>Keluarga Penerima</w:t>
              <w:br/>
              <w:t>(KPM Binaan)</w:t>
            </w:r>
          </w:p>
        </w:tc>
        <w:tc>
          <w:tcPr>
            <w:tcW w:type="dxa" w:w="2592"/>
            <w:shd w:val="clear" w:color="auto" w:fill="F8F9FA"/>
            <w:tcMar>
              <w:top w:w="120" w:type="dxa"/>
              <w:bottom w:w="120" w:type="dxa"/>
              <w:left w:w="140" w:type="dxa"/>
              <w:right w:w="140" w:type="dxa"/>
            </w:tcMar>
          </w:tcPr>
          <w:p>
            <w:pPr>
              <w:spacing w:line="276" w:lineRule="auto"/>
              <w:jc w:val="left"/>
            </w:pPr>
            <w:r>
              <w:rPr>
                <w:rFonts w:ascii="Arial" w:hAnsi="Arial"/>
                <w:sz w:val="18"/>
              </w:rPr>
              <w:t>Kepala Keluarga / Rumah Tangga Sasaran</w:t>
            </w:r>
          </w:p>
        </w:tc>
        <w:tc>
          <w:tcPr>
            <w:tcW w:type="dxa" w:w="4608"/>
            <w:shd w:val="clear" w:color="auto" w:fill="F8F9FA"/>
            <w:tcMar>
              <w:top w:w="120" w:type="dxa"/>
              <w:bottom w:w="120" w:type="dxa"/>
              <w:left w:w="140" w:type="dxa"/>
              <w:right w:w="140" w:type="dxa"/>
            </w:tcMar>
          </w:tcPr>
          <w:p>
            <w:pPr>
              <w:spacing w:line="276" w:lineRule="auto"/>
              <w:jc w:val="left"/>
            </w:pPr>
            <w:r>
              <w:rPr>
                <w:rFonts w:ascii="Arial" w:hAnsi="Arial"/>
                <w:sz w:val="18"/>
              </w:rPr>
              <w:t>Menerima paket bantuan bibit, memanfaatkan portal warga untuk melaporkan progres kondisi tanaman di pekarangan, serta mencatat kendala budidaya.</w:t>
            </w:r>
          </w:p>
        </w:tc>
      </w:tr>
    </w:tbl>
    <w:p>
      <w:pPr>
        <w:spacing w:after="240"/>
      </w:pPr>
    </w:p>
    <w:p>
      <w:pPr>
        <w:pStyle w:val="Heading1"/>
        <w:spacing w:before="280" w:after="120"/>
      </w:pPr>
      <w:r>
        <w:rPr>
          <w:rFonts w:ascii="Arial" w:hAnsi="Arial"/>
          <w:color w:val="1E5631"/>
        </w:rPr>
        <w:t>3. ALUR KERJA UTAMA SISTEM (5 TAHAPAN SIKLUS)</w:t>
      </w:r>
    </w:p>
    <w:p>
      <w:pPr>
        <w:pStyle w:val="Heading2"/>
        <w:spacing w:before="160" w:after="80"/>
      </w:pPr>
      <w:r>
        <w:rPr>
          <w:rFonts w:ascii="Arial" w:hAnsi="Arial"/>
          <w:color w:val="2E7D32"/>
          <w:sz w:val="23"/>
        </w:rPr>
        <w:t>Tahap 1: Perencanaan &amp; Penetapan Kuota Wilayah (Pemda)</w:t>
      </w:r>
    </w:p>
    <w:p>
      <w:pPr>
        <w:pStyle w:val="ListBullet"/>
        <w:spacing w:line="276" w:lineRule="auto" w:after="60"/>
      </w:pPr>
      <w:r>
        <w:rPr>
          <w:rFonts w:ascii="Arial" w:hAnsi="Arial"/>
          <w:sz w:val="19"/>
        </w:rPr>
        <w:t>Pemerintah Daerah menginput pagu anggaran dan alokasi bibit unggul (seperti Jagung Hibrida, Padi Gogo, Cabai Rawit, Bawang Merah, dan Sayuran Pekarangan).</w:t>
      </w:r>
    </w:p>
    <w:p>
      <w:pPr>
        <w:pStyle w:val="ListBullet"/>
        <w:spacing w:line="276" w:lineRule="auto" w:after="60"/>
      </w:pPr>
      <w:r>
        <w:rPr>
          <w:rFonts w:ascii="Arial" w:hAnsi="Arial"/>
          <w:sz w:val="19"/>
        </w:rPr>
        <w:t>Pemda menentukan kuota sasaran bagi masing-masing dari 24 kecamatan di Kabupaten Sumbawa.</w:t>
      </w:r>
    </w:p>
    <w:p>
      <w:pPr>
        <w:pStyle w:val="ListBullet"/>
        <w:spacing w:line="276" w:lineRule="auto" w:after="60"/>
      </w:pPr>
      <w:r>
        <w:rPr>
          <w:rFonts w:ascii="Arial" w:hAnsi="Arial"/>
          <w:sz w:val="19"/>
        </w:rPr>
        <w:t>Prioritas kuota disinkronkan dengan data kemiskinan ekstrem (P3KE) dan lokus stunting (Desil 1 s.d. Desil 3).</w:t>
      </w:r>
    </w:p>
    <w:p>
      <w:pPr>
        <w:pStyle w:val="Heading2"/>
        <w:spacing w:before="160" w:after="80"/>
      </w:pPr>
      <w:r>
        <w:rPr>
          <w:rFonts w:ascii="Arial" w:hAnsi="Arial"/>
          <w:color w:val="2E7D32"/>
          <w:sz w:val="23"/>
        </w:rPr>
        <w:t>Tahap 2: Pendataan Faktual CPCL &amp; Validasi Berjenjang</w:t>
      </w:r>
    </w:p>
    <w:p>
      <w:pPr>
        <w:pStyle w:val="ListBullet"/>
        <w:spacing w:line="276" w:lineRule="auto" w:after="60"/>
      </w:pPr>
      <w:r>
        <w:rPr>
          <w:rFonts w:ascii="Arial" w:hAnsi="Arial"/>
          <w:sz w:val="19"/>
        </w:rPr>
        <w:t>Survei Lapangan: Pendamping Lapangan mendatangi rumah tangga calon penerima, memverifikasi kesesuaian NIK Dukcapil, ketersediaan lahan pekarangan, dan mengambil foto geotagging.</w:t>
      </w:r>
    </w:p>
    <w:p>
      <w:pPr>
        <w:pStyle w:val="ListBullet"/>
        <w:spacing w:line="276" w:lineRule="auto" w:after="60"/>
      </w:pPr>
      <w:r>
        <w:rPr>
          <w:rFonts w:ascii="Arial" w:hAnsi="Arial"/>
          <w:sz w:val="19"/>
        </w:rPr>
        <w:t>Antrean Validasi (Validator DPL): Berkas survei masuk ke modul antrean verifikasi. Validator memeriksa keabsahan berkas dan melakukan uji petik sampel lapangan.</w:t>
      </w:r>
    </w:p>
    <w:p>
      <w:pPr>
        <w:pStyle w:val="ListBullet"/>
        <w:spacing w:line="276" w:lineRule="auto" w:after="60"/>
      </w:pPr>
      <w:r>
        <w:rPr>
          <w:rFonts w:ascii="Arial" w:hAnsi="Arial"/>
          <w:sz w:val="19"/>
        </w:rPr>
        <w:t>Deteksi Integritas Sistem (FR-24): Sistem otomatis memeriksa anomali (misalnya pencegahan 1 NIK terdaftar di lebih dari 1 kluster penerima).</w:t>
      </w:r>
    </w:p>
    <w:p>
      <w:pPr>
        <w:pStyle w:val="ListBullet"/>
        <w:spacing w:line="276" w:lineRule="auto" w:after="60"/>
      </w:pPr>
      <w:r>
        <w:rPr>
          <w:rFonts w:ascii="Arial" w:hAnsi="Arial"/>
          <w:sz w:val="19"/>
        </w:rPr>
        <w:t>Approval Pemda: Berkas yang telah lolos validasi disetujui resmi oleh Pemda dan diterbitkan sebagai SK Keluarga Penerima Manfaat Sah.</w:t>
      </w:r>
    </w:p>
    <w:p>
      <w:pPr>
        <w:pStyle w:val="Heading2"/>
        <w:spacing w:before="160" w:after="80"/>
      </w:pPr>
      <w:r>
        <w:rPr>
          <w:rFonts w:ascii="Arial" w:hAnsi="Arial"/>
          <w:color w:val="2E7D32"/>
          <w:sz w:val="23"/>
        </w:rPr>
        <w:t>Tahap 3: Penyaluran Bantuan &amp; Berita Acara Serah Terima</w:t>
      </w:r>
    </w:p>
    <w:p>
      <w:pPr>
        <w:pStyle w:val="ListBullet"/>
        <w:spacing w:line="276" w:lineRule="auto" w:after="60"/>
      </w:pPr>
      <w:r>
        <w:rPr>
          <w:rFonts w:ascii="Arial" w:hAnsi="Arial"/>
          <w:sz w:val="19"/>
        </w:rPr>
        <w:t>Paket bibit didistribusikan ke titik-titik kluster dusun keluarga binaan sesuai jadwal.</w:t>
      </w:r>
    </w:p>
    <w:p>
      <w:pPr>
        <w:pStyle w:val="ListBullet"/>
        <w:spacing w:line="276" w:lineRule="auto" w:after="60"/>
      </w:pPr>
      <w:r>
        <w:rPr>
          <w:rFonts w:ascii="Arial" w:hAnsi="Arial"/>
          <w:sz w:val="19"/>
        </w:rPr>
        <w:t>Pendamping dan perwakilan keluarga menandatangani Berita Acara Serah Terima secara digital/lapangan.</w:t>
      </w:r>
    </w:p>
    <w:p>
      <w:pPr>
        <w:pStyle w:val="ListBullet"/>
        <w:spacing w:line="276" w:lineRule="auto" w:after="60"/>
      </w:pPr>
      <w:r>
        <w:rPr>
          <w:rFonts w:ascii="Arial" w:hAnsi="Arial"/>
          <w:sz w:val="19"/>
        </w:rPr>
        <w:t>Data serah terima (volume, tanggal terima, kondisi fisik bibit) tercatat langsung pada sistem dan memperbarui persentase realisasi kuota kecamatan.</w:t>
      </w:r>
    </w:p>
    <w:p>
      <w:pPr>
        <w:pStyle w:val="Heading2"/>
        <w:spacing w:before="160" w:after="80"/>
      </w:pPr>
      <w:r>
        <w:rPr>
          <w:rFonts w:ascii="Arial" w:hAnsi="Arial"/>
          <w:color w:val="2E7D32"/>
          <w:sz w:val="23"/>
        </w:rPr>
        <w:t>Tahap 4: Pendampingan, Monitoring Tumbuh Kembang, &amp; Kemandirian</w:t>
      </w:r>
    </w:p>
    <w:p>
      <w:pPr>
        <w:pStyle w:val="ListBullet"/>
        <w:spacing w:line="276" w:lineRule="auto" w:after="60"/>
      </w:pPr>
      <w:r>
        <w:rPr>
          <w:rFonts w:ascii="Arial" w:hAnsi="Arial"/>
          <w:sz w:val="19"/>
        </w:rPr>
        <w:t>Laporan Tumbuh Kembang: Keluarga penerima dan pendamping secara berkala mengunggah foto dan laporan fase pertumbuhan (pembibitan, vegetatif, generatif/panen).</w:t>
      </w:r>
    </w:p>
    <w:p>
      <w:pPr>
        <w:pStyle w:val="ListBullet"/>
        <w:spacing w:line="276" w:lineRule="auto" w:after="60"/>
      </w:pPr>
      <w:r>
        <w:rPr>
          <w:rFonts w:ascii="Arial" w:hAnsi="Arial"/>
          <w:sz w:val="19"/>
        </w:rPr>
        <w:t>Kalkulasi Survival Rate: Sistem mengalkulasi tingkat kelangsungan hidup bibit. Jika survival rate &lt; 50%, sistem memunculkan status 'Anomali' pada dashboard Pemda agar PPL segera memberikan intervensi (pengendalian hama/irigasi).</w:t>
      </w:r>
    </w:p>
    <w:p>
      <w:pPr>
        <w:pStyle w:val="ListBullet"/>
        <w:spacing w:line="276" w:lineRule="auto" w:after="60"/>
      </w:pPr>
      <w:r>
        <w:rPr>
          <w:rFonts w:ascii="Arial" w:hAnsi="Arial"/>
          <w:sz w:val="19"/>
        </w:rPr>
        <w:t>Evaluasi Kemandirian Pangan: Pendamping menginput penilaian indikator kemandirian (skor konsumsi pangan mandiri, penjualan surplus panen, dan tabungan keluarga).</w:t>
      </w:r>
    </w:p>
    <w:p>
      <w:pPr>
        <w:pStyle w:val="Heading2"/>
        <w:spacing w:before="160" w:after="80"/>
      </w:pPr>
      <w:r>
        <w:rPr>
          <w:rFonts w:ascii="Arial" w:hAnsi="Arial"/>
          <w:color w:val="2E7D32"/>
          <w:sz w:val="23"/>
        </w:rPr>
        <w:t>Tahap 5: Pelaporan Eksekutif, Pertanggungjawaban (SPJ), &amp; Evaluasi GIS</w:t>
      </w:r>
    </w:p>
    <w:p>
      <w:pPr>
        <w:pStyle w:val="ListBullet"/>
        <w:spacing w:line="276" w:lineRule="auto" w:after="60"/>
      </w:pPr>
      <w:r>
        <w:rPr>
          <w:rFonts w:ascii="Arial" w:hAnsi="Arial"/>
          <w:sz w:val="19"/>
        </w:rPr>
        <w:t>Penerbitan Laporan PDF Resmi: Kampus Mitra dan Pemda dapat mengunduh dokumen laporan resmi yang siap cetak (Laporan Validasi, Penyaluran Bibit, Tumbuh Kembang, SPJ Bantuan, dan Log Pendampingan).</w:t>
      </w:r>
    </w:p>
    <w:p>
      <w:pPr>
        <w:pStyle w:val="ListBullet"/>
        <w:spacing w:line="276" w:lineRule="auto" w:after="60"/>
      </w:pPr>
      <w:r>
        <w:rPr>
          <w:rFonts w:ascii="Arial" w:hAnsi="Arial"/>
          <w:sz w:val="19"/>
        </w:rPr>
        <w:t>Visualisasi GIS &amp; Grafik Dashboard: Pemda dapat memantau peta spasial interaktif sebaran kecamatan, status evaluasi wilayah (Aman, Perhatian, Anomali), proporsi varietas bibit, serta grafik distribusi bulanan.</w:t>
      </w:r>
    </w:p>
    <w:p>
      <w:pPr>
        <w:spacing w:after="200"/>
      </w:pPr>
    </w:p>
    <w:p>
      <w:pPr>
        <w:pStyle w:val="Heading1"/>
        <w:spacing w:before="280" w:after="120"/>
      </w:pPr>
      <w:r>
        <w:rPr>
          <w:rFonts w:ascii="Arial" w:hAnsi="Arial"/>
          <w:color w:val="1E5631"/>
        </w:rPr>
        <w:t>4. FITUR UNGGULAN &amp; KEUNGGULAN SISTEM</w:t>
      </w:r>
    </w:p>
    <w:p>
      <w:pPr>
        <w:spacing w:line="276" w:lineRule="auto" w:after="80"/>
      </w:pPr>
      <w:r>
        <w:rPr>
          <w:rFonts w:ascii="Arial" w:hAnsi="Arial"/>
          <w:b/>
          <w:color w:val="212529"/>
          <w:sz w:val="19"/>
        </w:rPr>
        <w:t xml:space="preserve">• Peta Sebaran Spasial &amp; Grafik Interaktif Kecamatan: </w:t>
      </w:r>
      <w:r>
        <w:rPr>
          <w:rFonts w:ascii="Arial" w:hAnsi="Arial"/>
          <w:sz w:val="19"/>
        </w:rPr>
        <w:t>Dashboard Pemda dilengkapi peta wilayah interaktif dan modal grafik statistik (Chart.js) yang menyajikan komparasi realisasi bulanan vs target alokasi, proporsi komoditas, sebaran desil P3KE, dan daftar kluster dusun dampingan secara real-time.</w:t>
      </w:r>
    </w:p>
    <w:p>
      <w:pPr>
        <w:spacing w:line="276" w:lineRule="auto" w:after="80"/>
      </w:pPr>
      <w:r>
        <w:rPr>
          <w:rFonts w:ascii="Arial" w:hAnsi="Arial"/>
          <w:b/>
          <w:color w:val="212529"/>
          <w:sz w:val="19"/>
        </w:rPr>
        <w:t xml:space="preserve">• Protokol Kepatuhan &amp; Deteksi Dini Anomali (FR-24): </w:t>
      </w:r>
      <w:r>
        <w:rPr>
          <w:rFonts w:ascii="Arial" w:hAnsi="Arial"/>
          <w:sz w:val="19"/>
        </w:rPr>
        <w:t>Sistem dilengkapi algoritma audit otomatis yang mendeteksi anomali survival bibit rendah, keterlambatan pelaporan tumbuh kembang, dan validasi duplikasi NIK ganda untuk menjamin integritas bantuan.</w:t>
      </w:r>
    </w:p>
    <w:p>
      <w:pPr>
        <w:spacing w:line="276" w:lineRule="auto" w:after="80"/>
      </w:pPr>
      <w:r>
        <w:rPr>
          <w:rFonts w:ascii="Arial" w:hAnsi="Arial"/>
          <w:b/>
          <w:color w:val="212529"/>
          <w:sz w:val="19"/>
        </w:rPr>
        <w:t xml:space="preserve">• Transparansi Berjenjang Kampus-Pemda: </w:t>
      </w:r>
      <w:r>
        <w:rPr>
          <w:rFonts w:ascii="Arial" w:hAnsi="Arial"/>
          <w:sz w:val="19"/>
        </w:rPr>
        <w:t>Kolaborasi kampus (DPL dan mahasiswa KKN) sebagai pihak independen menjamin data survei dan pendampingan di lapangan bebas dari intervensi politis dan benar-benar menyasar keluarga miskin ekstrem.</w:t>
      </w:r>
    </w:p>
    <w:p>
      <w:pPr>
        <w:spacing w:line="276" w:lineRule="auto" w:after="80"/>
      </w:pPr>
      <w:r>
        <w:rPr>
          <w:rFonts w:ascii="Arial" w:hAnsi="Arial"/>
          <w:b/>
          <w:color w:val="212529"/>
          <w:sz w:val="19"/>
        </w:rPr>
        <w:t xml:space="preserve">• Format Laporan Berstandar Eksekutif &amp; SPJ PDF Otomatis: </w:t>
      </w:r>
      <w:r>
        <w:rPr>
          <w:rFonts w:ascii="Arial" w:hAnsi="Arial"/>
          <w:sz w:val="19"/>
        </w:rPr>
        <w:t>Sistem memfasilitasi pembuatan laporan otomatis sesuai format dinas yang dapat langsung dicetak (print) atau diunduh dalam format PDF, menghemat waktu pelaporan administrasi hingga 80%.</w:t>
      </w:r>
    </w:p>
    <w:p>
      <w:pPr>
        <w:pStyle w:val="Heading1"/>
        <w:spacing w:before="280" w:after="120"/>
      </w:pPr>
      <w:r>
        <w:rPr>
          <w:rFonts w:ascii="Arial" w:hAnsi="Arial"/>
          <w:color w:val="1E5631"/>
        </w:rPr>
        <w:t>5. KESIMPULAN</w:t>
      </w:r>
    </w:p>
    <w:p>
      <w:pPr>
        <w:spacing w:line="276" w:lineRule="auto" w:after="120"/>
      </w:pPr>
      <w:r>
        <w:t>Sistem GemaSmart (Sibibit) menghadirkan transformasi digital menyeluruh dari proses perencanaan, validasi lapangan, penyaluran, hingga evaluasi dampak bantuan bibit pertanian. Dengan keterlibatan sinergis antara Pemerintah Daerah Kabupaten Sumbawa, Perguruan Tinggi Mitra, Pendamping Lapangan, dan Keluarga Penerima Manfaat, program ini menjamin ketepatan sasaran bantuan, meningkatkan keberhasilan tumbuh tanaman, serta mendorong kemandirian pangan keluarga secara berkelanjutan.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