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1416"/>
        <w:gridCol w:w="793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9525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Standard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Standard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Standard"/>
        <w:pBdr>
          <w:bottom w:val="double" w:sz="12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09.03.04 Программная инженерия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Standard"/>
              <w:widowControl w:val="false"/>
              <w:shd w:val="clear" w:color="auto" w:fill="FFFFFF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3875" simplePos="0" locked="0" layoutInCell="1" allowOverlap="1" relativeHeight="3" wp14:anchorId="6A13B0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18840" b="3702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>
      <w:pPr>
        <w:pStyle w:val="Standard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Standard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Standard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single"/>
          <w:lang w:eastAsia="ru-RU"/>
        </w:rPr>
        <w:t>Взаимодействие параллельных процессов.</w:t>
      </w:r>
    </w:p>
    <w:p>
      <w:pPr>
        <w:pStyle w:val="Standard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u w:val="single"/>
          <w:lang w:eastAsia="ru-RU"/>
        </w:rPr>
      </w:pPr>
      <w:r>
        <w:rPr/>
      </w:r>
    </w:p>
    <w:p>
      <w:pPr>
        <w:pStyle w:val="Standard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Standard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Standard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Standard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Standard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99"/>
        <w:gridCol w:w="1591"/>
        <w:gridCol w:w="1542"/>
        <w:gridCol w:w="2013"/>
        <w:gridCol w:w="2002"/>
      </w:tblGrid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____________</w:t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rPr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  <w:lang w:eastAsia="ru-RU"/>
              </w:rPr>
              <w:t>Н.Ю. Рязанова</w:t>
            </w:r>
          </w:p>
        </w:tc>
      </w:tr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  <w:r>
        <w:br w:type="page"/>
      </w:r>
    </w:p>
    <w:p>
      <w:pPr>
        <w:pStyle w:val="Standard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Задание 1.</w:t>
      </w:r>
    </w:p>
    <w:p>
      <w:pPr>
        <w:pStyle w:val="Style18"/>
        <w:spacing w:lineRule="auto" w:line="27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ru-RU"/>
        </w:rPr>
        <w:t>Написать программу, реализующую задачу «Производство-потребление» по алгоритму Э. Дейкстры с тремя семафорами: двумя считающими и одним бинарным. В программе должно создаваться не менее 3</w:t>
      </w:r>
    </w:p>
    <w:p>
      <w:pPr>
        <w:pStyle w:val="Style18"/>
        <w:widowControl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>
      <w:pPr>
        <w:pStyle w:val="Normal"/>
        <w:widowControl/>
        <w:spacing w:lineRule="auto" w:line="240"/>
        <w:ind w:left="0" w:right="0" w:hanging="0"/>
        <w:jc w:val="both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FF"/>
          <w:spacing w:val="0"/>
          <w:sz w:val="16"/>
          <w:szCs w:val="16"/>
          <w:highlight w:val="white"/>
        </w:rPr>
        <w:t xml:space="preserve">#define N </w:t>
      </w: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98658"/>
          <w:spacing w:val="0"/>
          <w:sz w:val="16"/>
          <w:szCs w:val="16"/>
          <w:highlight w:val="white"/>
        </w:rPr>
        <w:t>10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#define NUM_PR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3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#define SE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#define SF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#define SB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sembuf before_putting_in_buf[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},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sembuf after_putting_in_buf[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},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sembuf before_taking_from_buf[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},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sembuf after_taking_from_buf[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},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action_producer(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num_pr,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 addr)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temp;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cur_letter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sleep(rand() %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temp = semop(id_sem, before_putting_in_buf,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"semop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addr[addr[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]] = cur_letter;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"&gt;&gt; PRODUCER %d: put %c\n"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num_pr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cur_letter);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cur_letter++;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(cur_letter &gt;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'z'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 xml:space="preserve">cur_letter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])++;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&gt; n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temp = semop(id_sem, after_putting_in_buf,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"semop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action_consumer(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num_cn,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cur_id,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 addr)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temp;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sleep(rand() %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temp = semop(cur_id, before_taking_from_buf,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"semop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"&gt;&gt; CONSUMER %d: took %c\n"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num_cn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addr[addr[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]]);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]++;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&gt; n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temp = semop(cur_id, after_taking_from_buf,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"semop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main()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srand(time(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));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perms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S_IRWXU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S_IRWXG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S_IRWXO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se, sf, sb, res, status, temp_id1, temp_id2;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producers[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NUM_PR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], consumers[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NUM_PR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];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id_shm = shmget(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IPC_CREAT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 perms);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(id_shm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"shmget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 addr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*)shmat(id_shm,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(addr ==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*)-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"shmat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id_sem = semget(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IPC_CREAT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 perms);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(id_sem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"semget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se = semctl(id_sem,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SETVAL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sf = semctl(id_sem,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SETVAL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sb = semctl(id_sem,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SETVAL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(se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|| sf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|| sb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"semctl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NUM_PR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 i++)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producers[i] = fork();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(producers[i]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"fork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(producers[i]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res = action_producer(i, 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addr);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(res)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exit(res);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rand();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consumers[i] = fork();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(consumers[i]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"fork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(consumers[i]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 xml:space="preserve">res = action_consumer(i, 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addr);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(res)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ab/>
        <w:t>exit(res);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rand();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NUM_PR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 i++)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temp_id1 = wait(&amp;status);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temp_id2 = wait(&amp;status);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(temp_id1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|| temp_id2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"wait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2124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(shmctl(id_shm,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IPC_RMID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"shmctl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(shmctl(id_sem,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IPC_RMID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"shmctl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highlight w:val="white"/>
          <w:lang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highlight w:val="white"/>
          <w:lang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highlight w:val="white"/>
          <w:lang w:eastAsia="ru-RU"/>
        </w:rPr>
        <w:t xml:space="preserve">Результат выполнения программы: </w:t>
      </w:r>
    </w:p>
    <w:p>
      <w:pPr>
        <w:pStyle w:val="Standard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highlight w:val="white"/>
          <w:lang w:eastAsia="ru-RU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</wp:posOffset>
            </wp:positionH>
            <wp:positionV relativeFrom="paragraph">
              <wp:posOffset>79375</wp:posOffset>
            </wp:positionV>
            <wp:extent cx="1606550" cy="40608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76" w:before="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2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.</w:t>
      </w:r>
    </w:p>
    <w:p>
      <w:pPr>
        <w:pStyle w:val="Style18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6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6"/>
          <w:highlight w:val="white"/>
          <w:lang w:eastAsia="ru-RU"/>
        </w:rPr>
        <w:t>Написать программу, реализующую задачу «Читатели – писатели» по монитору Хоара с четырьмя функциями: Начать_чтение, Закончить_чтение, Начать_запись, Закончить_запись.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>
      <w:pPr>
        <w:pStyle w:val="Style18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Для реализации взаимоисключения используются семафоры.</w:t>
      </w:r>
    </w:p>
    <w:p>
      <w:pPr>
        <w:pStyle w:val="Style18"/>
        <w:spacing w:lineRule="auto" w:line="276" w:before="0" w:after="0"/>
        <w:jc w:val="both"/>
        <w:rPr>
          <w:color w:val="000000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lang w:eastAsia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uiPriority w:val="9"/>
    <w:qFormat/>
    <w:pPr>
      <w:keepNext w:val="true"/>
      <w:keepLines/>
      <w:widowControl w:val="false"/>
      <w:spacing w:before="240" w:after="0"/>
      <w:outlineLvl w:val="0"/>
    </w:pPr>
    <w:rPr>
      <w:rFonts w:ascii="Calibri Light" w:hAnsi="Calibri Light" w:eastAsia="Calibri" w:cs="DejaVu Sans"/>
      <w:color w:val="2F5496"/>
      <w:kern w:val="0"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3" w:customStyle="1">
    <w:name w:val="Текст примечания Знак"/>
    <w:basedOn w:val="DefaultParagraphFont"/>
    <w:qFormat/>
    <w:rPr>
      <w:sz w:val="20"/>
      <w:szCs w:val="20"/>
    </w:rPr>
  </w:style>
  <w:style w:type="character" w:styleId="Style14" w:customStyle="1">
    <w:name w:val="Тема примечания Знак"/>
    <w:basedOn w:val="Style13"/>
    <w:qFormat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qFormat/>
    <w:rPr>
      <w:rFonts w:ascii="Segoe UI" w:hAnsi="Segoe UI" w:eastAsia="Segoe UI" w:cs="Segoe UI"/>
      <w:sz w:val="18"/>
      <w:szCs w:val="18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ascii="Times New Roman" w:hAnsi="Times New Roman" w:eastAsia="OpenSymbol" w:cs="OpenSymbol"/>
      <w:sz w:val="28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paragraph" w:styleId="Style17" w:customStyle="1">
    <w:name w:val="Заголовок"/>
    <w:basedOn w:val="Standard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Lohit Devanagari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OCHeading">
    <w:name w:val="TOC Heading"/>
    <w:basedOn w:val="1"/>
    <w:qFormat/>
    <w:pPr/>
    <w:rPr>
      <w:lang w:eastAsia="ru-RU"/>
    </w:rPr>
  </w:style>
  <w:style w:type="paragraph" w:styleId="Contents1" w:customStyle="1">
    <w:name w:val="Contents 1"/>
    <w:basedOn w:val="Standard"/>
    <w:autoRedefine/>
    <w:qFormat/>
    <w:pPr>
      <w:spacing w:before="0" w:after="10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Annotationtext">
    <w:name w:val="annotation text"/>
    <w:basedOn w:val="Standard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eastAsia="Segoe UI" w:cs="Segoe UI"/>
      <w:sz w:val="18"/>
      <w:szCs w:val="18"/>
    </w:rPr>
  </w:style>
  <w:style w:type="paragraph" w:styleId="Style22" w:customStyle="1">
    <w:name w:val="Содержимое таблицы"/>
    <w:basedOn w:val="Standard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LibreOffice/6.0.7.3$Linux_X86_64 LibreOffice_project/00m0$Build-3</Application>
  <Pages>5</Pages>
  <Words>692</Words>
  <Characters>4070</Characters>
  <CharactersWithSpaces>4598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2020-11-23T16:32:00Z</dcterms:created>
  <dc:creator>Всеволод Иванов</dc:creator>
  <dc:description/>
  <dc:language>ru-RU</dc:language>
  <cp:lastModifiedBy/>
  <cp:lastPrinted>2020-09-11T16:04:00Z</cp:lastPrinted>
  <dcterms:modified xsi:type="dcterms:W3CDTF">2020-12-21T18:16:35Z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