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MVP-1 整改提示词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IT 资产全生命周期管理系统 · 元数据与资产核心复核整改</w:t>
      </w:r>
    </w:p>
    <w:p>
      <w:r>
        <w:rPr>
          <w:rFonts w:ascii="Microsoft YaHei" w:hAnsi="Microsoft YaHei" w:eastAsia="Microsoft YaHei"/>
          <w:b/>
          <w:sz w:val="21"/>
        </w:rPr>
        <w:t>使用方式：</w:t>
      </w:r>
      <w:r>
        <w:rPr>
          <w:rFonts w:ascii="Microsoft YaHei" w:hAnsi="Microsoft YaHei" w:eastAsia="Microsoft YaHei"/>
          <w:b w:val="0"/>
          <w:sz w:val="21"/>
        </w:rPr>
        <w:t>将本文档中“正式提示词”完整发送给 AI 开发平台。不要拆分为多个不连续任务，除非平台有上下文长度限制；若必须拆分，应先发送“总体要求与验收标准”，再逐项发送 P0 整改项。</w:t>
      </w:r>
    </w:p>
    <w:p>
      <w:pPr>
        <w:pStyle w:val="Heading1"/>
      </w:pPr>
      <w:r>
        <w:t>一、整改目标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当前状态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工程构建通过，但 MVP-1 业务验收不通过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不得进入 MVP-2，先完成本次整改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整改重点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字段权限、数据范围、元数据驱动、关系约束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修复核心能力，不新增 MVP-2 功能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验收口径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自动化测试 + 构建 + 代码审查 + 可运行验证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 P0 项必须有测试覆盖</w:t>
            </w:r>
          </w:p>
        </w:tc>
      </w:tr>
    </w:tbl>
    <w:p>
      <w:pPr>
        <w:pStyle w:val="Heading1"/>
      </w:pPr>
      <w:r>
        <w:t>二、正式提示词</w:t>
      </w:r>
    </w:p>
    <w:p>
      <w:r>
        <w:rPr>
          <w:rFonts w:ascii="Microsoft YaHei" w:hAnsi="Microsoft YaHei" w:eastAsia="Microsoft YaHei"/>
          <w:b/>
          <w:sz w:val="21"/>
        </w:rPr>
        <w:t>请复制以下内容发送给 AI 开发平台：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你现在接手 IT 资产全生命周期管理系统重建项目的 MVP-1 整改任务。当前代码位于项目根目录，技术栈固定为 Spring Boot 3 + Java 21 + PostgreSQL + Flyway + Vue 3 + TypeScript + Vite + Element Plus。请在现有 MVP-1 代码基础上做“外科手术式整改”，不要重构成新框架，不要进入 MVP-2 生命周期/审批/导入导出等后续功能。整改目标是让 MVP-1 的“元数据驱动 + 资产核心 + 字段权限基础能力”达到可验收状态。</w:t>
            </w:r>
          </w:p>
        </w:tc>
      </w:tr>
    </w:tbl>
    <w:p/>
    <w:p>
      <w:pPr>
        <w:pStyle w:val="Heading1"/>
      </w:pPr>
      <w:r>
        <w:t>三、必须遵守的工作原则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先阅读 docs/mvp/MVP1-PRD-许清楚.md、docs/mvp/MVP1-设计-高见远.md、docs/mvp/12-测试用例与验收标准.md、docs/mvp/16-UI设计规范与前端交互范式.md，再修改代码。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只修复本提示词列出的 MVP-1 缺陷，不新增 MVP-2 能力，例如生命周期动作、审批流、导入导出、报表、许可证分配等。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保持现有技术栈、目录结构、统一响应信封、权限模型、审计模型和 Flyway 迁移体系，不引入不必要的新框架。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每个 P0 修复项必须补充或更新自动化测试；不能只改前端或只改文档。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不得通过删除测试、降低断言、跳过失败用例来制造通过。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如涉及数据库结构变更，新增 Flyway V5 迁移，不修改已发布的 V1~V4 迁移文件，除非项目当前明确允许重放数据库。</w:t>
      </w:r>
    </w:p>
    <w:p>
      <w:pPr>
        <w:pStyle w:val="Heading1"/>
      </w:pPr>
      <w:r>
        <w:t>四、P0 阻塞项整改要求</w:t>
      </w:r>
    </w:p>
    <w:p>
      <w:pPr>
        <w:pStyle w:val="Heading2"/>
      </w:pPr>
      <w:r>
        <w:t>P0-1 字段权限必须在后端写入路径强制执行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问题：AssetAppService.update/create 当前直接接收并写入请求字段，没有基于运行时字段权限拒绝 editable=false 字段覆盖。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要求：在资产创建/编辑前加载当前资产类型字段定义，调用字段权限服务解析当前角色对每个字段的权限。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要求：visible=false 或 editable=false 的字段不得被写入；编辑时如果请求试图覆盖不可编辑字段，后端必须返回 403 或 422，不能静默覆盖。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要求：固定物理字段和动态 attributes 字段都必须受同一套字段权限控制，尤其是 serial_no、brand、vendor、license_key、lifecycle_status、status、created_at、updated_at 等。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要求：lifecycleStatus 继续保持 MVP-1 受控策略：创建固定 planned，编辑不得修改；如果请求携带 lifecycleStatus，必须忽略或返回 422，并补充测试证明。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测试：新增/更新 AssetAppService 或 Controller 层测试，覆盖 asset_admin 可编辑、auditor 不可编辑、editable=false 字段被拒绝、lifecycleStatus 无法被修改。</w:t>
      </w:r>
    </w:p>
    <w:p>
      <w:pPr>
        <w:pStyle w:val="Heading2"/>
      </w:pPr>
      <w:r>
        <w:t>P0-2 字段权限默认规则必须覆盖 5 类角色与数据范围基础规则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问题：FieldPermissionService 当前只有简单角色基线，没有实现 asset_user、asset_operator 的最小可见/数据范围语义。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要求：至少实现 tenant_admin、asset_admin、asset_operator、asset_user、auditor 五类角色的 MVP-1 默认规则。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要求：auditor 只读，敏感字段脱敏；asset_user 默认只读且只能访问本人/责任人相关资产；asset_operator 仅可编辑运维/运营类字段，敏感字段脱敏；tenant_admin 与 asset_admin 按设计拥有管理能力但系统字段不可编辑。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要求：资产列表和详情必须注入数据范围过滤，不能只按 tenant_id 过滤。最小实现可以基于 owner_user_id、responsible_user_id、owner_org_id、location_id 等字段完成 MVP-1 范围的数据范围约束。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要求：返回字段必须后端过滤，不可见字段不得出现在 API 响应中；敏感字段按 mask_rule 脱敏；加密字段不得明文落库或明文出现在审计 detail。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测试：补充 FieldPermissionServiceTest、AssetAppService/Repository 查询测试，覆盖五类角色、敏感字段脱敏、不可见字段剔除、asset_user 数据范围限制。</w:t>
      </w:r>
    </w:p>
    <w:p>
      <w:pPr>
        <w:pStyle w:val="Heading2"/>
      </w:pPr>
      <w:r>
        <w:t>P0-3 前端必须真正由运行时元数据和字段权限驱动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问题：DynamicTable 期望 listView.columns 使用 fieldCode/label，但 V4 种子 schema 使用 field/title，导致配置列无法生效。DynamicFilter 期望 enabledFilters，但种子 schema 使用 filters 数组，导致查询配置无法驱动 UI。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要求：统一前后端 schema 契约。可以选择调整前端兼容 field/title 与 filters 数组，也可以通过 V5 迁移修正种子 schema；推荐前端兼容旧 schema，同时在后续种子中采用统一字段名。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要求：DynamicForm 必须使用 runtimeMetadata.fieldPermissions，而不是只使用字段定义 f.editable。visible=false 字段不渲染，editable=false 字段只读，masked=true 字段按 FieldValue 脱敏展示。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要求：固定字段区域也必须受 fieldPermissions 控制；不能无条件显示/可编辑 assetName、assetNo、serialNo、brand、vendor 等字段。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要求：AssetEditView 构造 payload 时不得提交不可见或不可编辑字段；但后端仍必须作为权威校验。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测试：前端至少补充类型检查和关键组件测试，或提供可执行的手工验收说明；必须确保 vue-tsc 与 vite build 通过。</w:t>
      </w:r>
    </w:p>
    <w:p>
      <w:pPr>
        <w:pStyle w:val="Heading2"/>
      </w:pPr>
      <w:r>
        <w:t>P0-4 资产关系类型必须受枚举约束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问题：AssetRelationAppService 当前直接保存 relationType，数据库也没有 check constraint。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要求：定义允许的关系类型，例如 installed_on、binds_to、depends_on、located_in、uses，非法值返回 422 BUSINESS_RULE_VIOLATION。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要求：禁止自环关系 sourceAssetId == targetAssetId。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要求：继续保持源资产和目标资产同租户校验，跨租户返回 404 或 403。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要求：如采用数据库约束，新增 V5 Flyway migration；如只在应用层实现，也必须有测试覆盖。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测试：补充非法 relationType、自环关系、跨租户关系、重复关系的测试。</w:t>
      </w:r>
    </w:p>
    <w:p>
      <w:pPr>
        <w:pStyle w:val="Heading2"/>
      </w:pPr>
      <w:r>
        <w:t>P0-5 审计与敏感信息保护必须补齐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问题：当前审计 detail 较简略，且敏感字段加密/脱敏路径需要通过测试证明不会泄露明文。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要求：资产创建/更新/删除、元数据变更、关系增删继续写审计。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要求：审计 detail 中不得包含 license_key 等敏感字段明文；必要时记录字段名和变更摘要，不记录原始值。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要求：加密字段应在落库前加密，响应前根据权限解密后脱敏或隐藏；无权限用户不得获得明文。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测试：补充敏感字段落库非明文、API 响应脱敏、审计 detail 不含明文的测试。</w:t>
      </w:r>
    </w:p>
    <w:p>
      <w:pPr>
        <w:pStyle w:val="Heading1"/>
      </w:pPr>
      <w:r>
        <w:t>五、P1 重要改进项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修复前端构建大 chunk 警告：可通过路由级动态 import 或 manualChunks 拆分 Element Plus/vendor 包。该项不阻塞 MVP-1，但建议一起处理。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清理无意义代码，例如 AssetSpecifications 中未使用的 ignore 变量。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补充 API 契约说明，明确 listView/searchSchema/formSchema 的 JSON 结构，避免前后端再次漂移。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补充本次整改报告，说明修改文件、测试覆盖、未完成风险和手工验证方式。</w:t>
      </w:r>
    </w:p>
    <w:p>
      <w:pPr>
        <w:pStyle w:val="Heading1"/>
      </w:pPr>
      <w:r>
        <w:t>六、验收命令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后端：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cd backend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mvn.cmd clean verify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前端：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cd frontend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.\node_modules\.bin\vue-tsc.cmd --noEmit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.\node_modules\.bin\vite.cmd build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建议补充：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1. 如本地具备 Docker/PostgreSQL，执行集成测试，确保 Flyway V1~V5 可从空库完整迁移。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2. 启动后端与前端，使用 tenant_admin、asset_admin、auditor、asset_user、asset_operator 分别登录做手工验收。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3. 验证软件许可证 license_key：数据库非明文、审计不泄露、auditor 响应脱敏、无权限用户隐藏或脱敏。</w:t>
            </w:r>
          </w:p>
        </w:tc>
      </w:tr>
    </w:tbl>
    <w:p/>
    <w:p>
      <w:pPr>
        <w:pStyle w:val="Heading1"/>
      </w:pPr>
      <w:r>
        <w:t>七、最终交付要求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提交完整代码修改，不只提交说明文档。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列出所有修改文件和每个文件的修改目的。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列出新增/更新的测试用例及其覆盖的验收项。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提供实际执行的命令输出摘要，包括后端 verify、前端 typecheck/build、集成测试是否执行。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明确说明是否仍有跳过测试；如果跳过，说明原因、环境要求和后续执行命令。</w:t>
      </w:r>
    </w:p>
    <w:p>
      <w:pPr>
        <w:ind w:left="360" w:hanging="216"/>
      </w:pPr>
      <w:r>
        <w:rPr>
          <w:rFonts w:ascii="Microsoft YaHei" w:hAnsi="Microsoft YaHei" w:eastAsia="Microsoft YaHei"/>
          <w:b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1"/>
        </w:rPr>
        <w:t>整改完成后不要自动进入 MVP-2，等待复核确认。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MVP-1 整改提示词</dc:title>
  <dc:subject>IT资产全生命周期管理系统 MVP-1 复核整改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