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投资组合绩效评估</w:t>
      </w:r>
    </w:p>
    <w:p>
      <w:pPr>
        <w:pStyle w:val="Subtitle"/>
      </w:pPr>
      <w:r>
        <w:rPr>
          <w:color w:val="000000"/>
        </w:rPr>
        <w:t>评价框架 计算方法 收益归因与风险监控</w:t>
      </w:r>
    </w:p>
    <w:p>
      <w:r>
        <w:rPr>
          <w:color w:val="000000"/>
        </w:rPr>
        <w:t>投资组合绩效评估的核心，是判断收益是否足以补偿所承担的风险，以及超额收益能否在扣除成本后持续实现。评价应先统一数据和基准，再依次检查收益表现、风险效率、收益来源、Alpha 证据、执行成本与风险偏离。单一高收益或单次正 Alpha，均不足以证明管理能力。</w:t>
      </w:r>
    </w:p>
    <w:p>
      <w:pPr>
        <w:pStyle w:val="Heading1"/>
      </w:pPr>
      <w:r>
        <w:rPr>
          <w:color w:val="000000"/>
        </w:rPr>
        <w:t>一 评价框架与数据准备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417"/>
        <w:gridCol w:w="2891"/>
        <w:gridCol w:w="5159"/>
      </w:tblGrid>
      <w:tr>
        <w:trPr>
          <w:cantSplit/>
          <w:tblHeader/>
        </w:trPr>
        <w:tc>
          <w:tcPr>
            <w:tcW w:type="dxa" w:w="1417"/>
            <w:vAlign w:val="center"/>
            <w:shd w:fill="DFE8F0"/>
          </w:tcPr>
          <w:p>
            <w:pPr>
              <w:keepNext/>
              <w:spacing w:after="0" w:line="269" w:lineRule="auto"/>
              <w:jc w:val="center"/>
            </w:pPr>
            <w:r>
              <w:rPr>
                <w:b/>
                <w:sz w:val="19"/>
              </w:rPr>
              <w:t>评价维度</w:t>
            </w:r>
          </w:p>
        </w:tc>
        <w:tc>
          <w:tcPr>
            <w:tcW w:type="dxa" w:w="2891"/>
            <w:vAlign w:val="center"/>
            <w:shd w:fill="DFE8F0"/>
          </w:tcPr>
          <w:p>
            <w:pPr>
              <w:keepNext/>
              <w:spacing w:after="0" w:line="269" w:lineRule="auto"/>
              <w:jc w:val="center"/>
            </w:pPr>
            <w:r>
              <w:rPr>
                <w:b/>
                <w:sz w:val="19"/>
              </w:rPr>
              <w:t>需要回答的问题</w:t>
            </w:r>
          </w:p>
        </w:tc>
        <w:tc>
          <w:tcPr>
            <w:tcW w:type="dxa" w:w="5159"/>
            <w:vAlign w:val="center"/>
            <w:shd w:fill="DFE8F0"/>
          </w:tcPr>
          <w:p>
            <w:pPr>
              <w:keepNext/>
              <w:spacing w:after="0" w:line="269" w:lineRule="auto"/>
              <w:jc w:val="center"/>
            </w:pPr>
            <w:r>
              <w:rPr>
                <w:b/>
                <w:sz w:val="19"/>
              </w:rPr>
              <w:t>主要证据</w:t>
            </w:r>
          </w:p>
        </w:tc>
      </w:tr>
      <w:tr>
        <w:trPr>
          <w:cantSplit/>
        </w:trPr>
        <w:tc>
          <w:tcPr>
            <w:tcW w:type="dxa" w:w="1417"/>
            <w:vAlign w:val="center"/>
            <w:shd w:fill="FFFFFF"/>
          </w:tcPr>
          <w:p>
            <w:pPr>
              <w:keepNext w:val="0"/>
              <w:spacing w:after="0" w:line="269" w:lineRule="auto"/>
              <w:jc w:val="center"/>
            </w:pPr>
            <w:r>
              <w:rPr>
                <w:b w:val="0"/>
                <w:sz w:val="19"/>
              </w:rPr>
              <w:t>收益表现</w:t>
            </w:r>
          </w:p>
        </w:tc>
        <w:tc>
          <w:tcPr>
            <w:tcW w:type="dxa" w:w="2891"/>
            <w:vAlign w:val="center"/>
            <w:shd w:fill="FFFFFF"/>
          </w:tcPr>
          <w:p>
            <w:pPr>
              <w:keepNext w:val="0"/>
              <w:spacing w:after="0" w:line="269" w:lineRule="auto"/>
              <w:jc w:val="center"/>
            </w:pPr>
            <w:r>
              <w:rPr>
                <w:b w:val="0"/>
                <w:sz w:val="19"/>
              </w:rPr>
              <w:t>获得多少收益，是否超过基准</w:t>
            </w:r>
          </w:p>
        </w:tc>
        <w:tc>
          <w:tcPr>
            <w:tcW w:type="dxa" w:w="5159"/>
            <w:vAlign w:val="center"/>
            <w:shd w:fill="FFFFFF"/>
          </w:tcPr>
          <w:p>
            <w:pPr>
              <w:keepNext w:val="0"/>
              <w:spacing w:after="0" w:line="269" w:lineRule="auto"/>
            </w:pPr>
            <w:r>
              <w:rPr>
                <w:b w:val="0"/>
                <w:sz w:val="19"/>
              </w:rPr>
              <w:t>累计收益、年化收益、TWR、MWR</w:t>
            </w:r>
          </w:p>
        </w:tc>
      </w:tr>
      <w:tr>
        <w:trPr>
          <w:cantSplit/>
        </w:trPr>
        <w:tc>
          <w:tcPr>
            <w:tcW w:type="dxa" w:w="1417"/>
            <w:vAlign w:val="center"/>
            <w:shd w:fill="FFFFFF"/>
          </w:tcPr>
          <w:p>
            <w:pPr>
              <w:keepNext w:val="0"/>
              <w:spacing w:after="0" w:line="269" w:lineRule="auto"/>
              <w:jc w:val="center"/>
            </w:pPr>
            <w:r>
              <w:rPr>
                <w:b w:val="0"/>
                <w:sz w:val="19"/>
              </w:rPr>
              <w:t>风险效率</w:t>
            </w:r>
          </w:p>
        </w:tc>
        <w:tc>
          <w:tcPr>
            <w:tcW w:type="dxa" w:w="2891"/>
            <w:vAlign w:val="center"/>
            <w:shd w:fill="FFFFFF"/>
          </w:tcPr>
          <w:p>
            <w:pPr>
              <w:keepNext w:val="0"/>
              <w:spacing w:after="0" w:line="269" w:lineRule="auto"/>
              <w:jc w:val="center"/>
            </w:pPr>
            <w:r>
              <w:rPr>
                <w:b w:val="0"/>
                <w:sz w:val="19"/>
              </w:rPr>
              <w:t>承担的风险是否获得合理补偿</w:t>
            </w:r>
          </w:p>
        </w:tc>
        <w:tc>
          <w:tcPr>
            <w:tcW w:type="dxa" w:w="5159"/>
            <w:vAlign w:val="center"/>
            <w:shd w:fill="FFFFFF"/>
          </w:tcPr>
          <w:p>
            <w:pPr>
              <w:keepNext w:val="0"/>
              <w:spacing w:after="0" w:line="269" w:lineRule="auto"/>
            </w:pPr>
            <w:r>
              <w:rPr>
                <w:b w:val="0"/>
                <w:sz w:val="19"/>
              </w:rPr>
              <w:t>波动率、回撤、Sharpe、IR</w:t>
            </w:r>
          </w:p>
        </w:tc>
      </w:tr>
      <w:tr>
        <w:trPr>
          <w:cantSplit/>
        </w:trPr>
        <w:tc>
          <w:tcPr>
            <w:tcW w:type="dxa" w:w="1417"/>
            <w:vAlign w:val="center"/>
            <w:shd w:fill="FFFFFF"/>
          </w:tcPr>
          <w:p>
            <w:pPr>
              <w:keepNext w:val="0"/>
              <w:spacing w:after="0" w:line="269" w:lineRule="auto"/>
              <w:jc w:val="center"/>
            </w:pPr>
            <w:r>
              <w:rPr>
                <w:b w:val="0"/>
                <w:sz w:val="19"/>
              </w:rPr>
              <w:t>收益来源</w:t>
            </w:r>
          </w:p>
        </w:tc>
        <w:tc>
          <w:tcPr>
            <w:tcW w:type="dxa" w:w="2891"/>
            <w:vAlign w:val="center"/>
            <w:shd w:fill="FFFFFF"/>
          </w:tcPr>
          <w:p>
            <w:pPr>
              <w:keepNext w:val="0"/>
              <w:spacing w:after="0" w:line="269" w:lineRule="auto"/>
              <w:jc w:val="center"/>
            </w:pPr>
            <w:r>
              <w:rPr>
                <w:b w:val="0"/>
                <w:sz w:val="19"/>
              </w:rPr>
              <w:t>收益由哪些投资决策产生</w:t>
            </w:r>
          </w:p>
        </w:tc>
        <w:tc>
          <w:tcPr>
            <w:tcW w:type="dxa" w:w="5159"/>
            <w:vAlign w:val="center"/>
            <w:shd w:fill="FFFFFF"/>
          </w:tcPr>
          <w:p>
            <w:pPr>
              <w:keepNext w:val="0"/>
              <w:spacing w:after="0" w:line="269" w:lineRule="auto"/>
            </w:pPr>
            <w:r>
              <w:rPr>
                <w:b w:val="0"/>
                <w:sz w:val="19"/>
              </w:rPr>
              <w:t>风格分析、Brinson、多因子、Campisi</w:t>
            </w:r>
          </w:p>
        </w:tc>
      </w:tr>
      <w:tr>
        <w:trPr>
          <w:cantSplit/>
        </w:trPr>
        <w:tc>
          <w:tcPr>
            <w:tcW w:type="dxa" w:w="1417"/>
            <w:vAlign w:val="center"/>
            <w:shd w:fill="FFFFFF"/>
          </w:tcPr>
          <w:p>
            <w:pPr>
              <w:keepNext w:val="0"/>
              <w:spacing w:after="0" w:line="269" w:lineRule="auto"/>
              <w:jc w:val="center"/>
            </w:pPr>
            <w:r>
              <w:rPr>
                <w:b w:val="0"/>
                <w:sz w:val="19"/>
              </w:rPr>
              <w:t>Alpha 质量</w:t>
            </w:r>
          </w:p>
        </w:tc>
        <w:tc>
          <w:tcPr>
            <w:tcW w:type="dxa" w:w="2891"/>
            <w:vAlign w:val="center"/>
            <w:shd w:fill="FFFFFF"/>
          </w:tcPr>
          <w:p>
            <w:pPr>
              <w:keepNext w:val="0"/>
              <w:spacing w:after="0" w:line="269" w:lineRule="auto"/>
            </w:pPr>
            <w:r>
              <w:rPr>
                <w:b w:val="0"/>
                <w:sz w:val="19"/>
              </w:rPr>
              <w:t>超额收益是否稳定且有统计支持</w:t>
            </w:r>
          </w:p>
        </w:tc>
        <w:tc>
          <w:tcPr>
            <w:tcW w:type="dxa" w:w="5159"/>
            <w:vAlign w:val="center"/>
            <w:shd w:fill="FFFFFF"/>
          </w:tcPr>
          <w:p>
            <w:pPr>
              <w:keepNext w:val="0"/>
              <w:spacing w:after="0" w:line="269" w:lineRule="auto"/>
            </w:pPr>
            <w:r>
              <w:rPr>
                <w:b w:val="0"/>
                <w:sz w:val="19"/>
              </w:rPr>
              <w:t>IC、有效广度、t 检验、滚动与样本外检验</w:t>
            </w:r>
          </w:p>
        </w:tc>
      </w:tr>
      <w:tr>
        <w:trPr>
          <w:cantSplit/>
        </w:trPr>
        <w:tc>
          <w:tcPr>
            <w:tcW w:type="dxa" w:w="1417"/>
            <w:vAlign w:val="center"/>
            <w:shd w:fill="FFFFFF"/>
          </w:tcPr>
          <w:p>
            <w:pPr>
              <w:keepNext w:val="0"/>
              <w:spacing w:after="0" w:line="269" w:lineRule="auto"/>
              <w:jc w:val="center"/>
            </w:pPr>
            <w:r>
              <w:rPr>
                <w:b w:val="0"/>
                <w:sz w:val="19"/>
              </w:rPr>
              <w:t>成本与容量</w:t>
            </w:r>
          </w:p>
        </w:tc>
        <w:tc>
          <w:tcPr>
            <w:tcW w:type="dxa" w:w="2891"/>
            <w:vAlign w:val="center"/>
            <w:shd w:fill="FFFFFF"/>
          </w:tcPr>
          <w:p>
            <w:pPr>
              <w:keepNext w:val="0"/>
              <w:spacing w:after="0" w:line="269" w:lineRule="auto"/>
              <w:jc w:val="center"/>
            </w:pPr>
            <w:r>
              <w:rPr>
                <w:b w:val="0"/>
                <w:sz w:val="19"/>
              </w:rPr>
              <w:t>账面优势能否实际兑现</w:t>
            </w:r>
          </w:p>
        </w:tc>
        <w:tc>
          <w:tcPr>
            <w:tcW w:type="dxa" w:w="5159"/>
            <w:vAlign w:val="center"/>
            <w:shd w:fill="FFFFFF"/>
          </w:tcPr>
          <w:p>
            <w:pPr>
              <w:keepNext w:val="0"/>
              <w:spacing w:after="0" w:line="269" w:lineRule="auto"/>
            </w:pPr>
            <w:r>
              <w:rPr>
                <w:b w:val="0"/>
                <w:sz w:val="19"/>
              </w:rPr>
              <w:t>换手率、费用、冲击成本、交易容量</w:t>
            </w:r>
          </w:p>
        </w:tc>
      </w:tr>
      <w:tr>
        <w:trPr>
          <w:cantSplit/>
        </w:trPr>
        <w:tc>
          <w:tcPr>
            <w:tcW w:type="dxa" w:w="1417"/>
            <w:vAlign w:val="center"/>
            <w:shd w:fill="FFFFFF"/>
          </w:tcPr>
          <w:p>
            <w:pPr>
              <w:keepNext w:val="0"/>
              <w:spacing w:after="0" w:line="269" w:lineRule="auto"/>
              <w:jc w:val="center"/>
            </w:pPr>
            <w:r>
              <w:rPr>
                <w:b w:val="0"/>
                <w:sz w:val="19"/>
              </w:rPr>
              <w:t>持续监控</w:t>
            </w:r>
          </w:p>
        </w:tc>
        <w:tc>
          <w:tcPr>
            <w:tcW w:type="dxa" w:w="2891"/>
            <w:vAlign w:val="center"/>
            <w:shd w:fill="FFFFFF"/>
          </w:tcPr>
          <w:p>
            <w:pPr>
              <w:keepNext w:val="0"/>
              <w:spacing w:after="0" w:line="269" w:lineRule="auto"/>
              <w:jc w:val="center"/>
            </w:pPr>
            <w:r>
              <w:rPr>
                <w:b w:val="0"/>
                <w:sz w:val="19"/>
              </w:rPr>
              <w:t>风险与业绩是否偏离预算</w:t>
            </w:r>
          </w:p>
        </w:tc>
        <w:tc>
          <w:tcPr>
            <w:tcW w:type="dxa" w:w="5159"/>
            <w:vAlign w:val="center"/>
            <w:shd w:fill="FFFFFF"/>
          </w:tcPr>
          <w:p>
            <w:pPr>
              <w:keepNext w:val="0"/>
              <w:spacing w:after="0" w:line="269" w:lineRule="auto"/>
            </w:pPr>
            <w:r>
              <w:rPr>
                <w:b w:val="0"/>
                <w:sz w:val="19"/>
              </w:rPr>
              <w:t>跟踪误差、预警区间、VaR、ES</w:t>
            </w:r>
          </w:p>
        </w:tc>
      </w:tr>
    </w:tbl>
    <w:p>
      <w:pPr>
        <w:spacing w:after="0"/>
      </w:pPr>
    </w:p>
    <w:p>
      <w:pPr>
        <w:pStyle w:val="Heading2"/>
      </w:pPr>
      <w:r>
        <w:rPr>
          <w:color w:val="000000"/>
        </w:rPr>
        <w:t>1 先确定可比较的评价口径</w:t>
      </w:r>
    </w:p>
    <w:p>
      <w:r>
        <w:rPr>
          <w:color w:val="000000"/>
        </w:rPr>
        <w:t>评价前固定样本起止日、计价币种、收益频率、业绩基准、无风险收益和费用口径。组合与基准应覆盖同一期间，并使用包含分红或利息再投资的总收益口径。基准须与投资授权和可投资范围匹配，避免事后挑选更容易战胜的指数。</w:t>
      </w:r>
    </w:p>
    <w:p>
      <w:pPr>
        <w:pStyle w:val="Heading2"/>
      </w:pPr>
      <w:r>
        <w:rPr>
          <w:color w:val="000000"/>
        </w:rPr>
        <w:t>2 建立最小数据集</w:t>
      </w:r>
    </w:p>
    <w:p>
      <w:r>
        <w:rPr>
          <w:color w:val="000000"/>
        </w:rPr>
        <w:t>基础层收集日期、复权净值或总收益率、基准总收益、无风险收益、申购赎回及其日期。归因层增加期初持仓权重、行业分类、个券收益、因子暴露和债券久期等数据。执行层增加成交金额、成交价格、费用、点差及资产成交量。</w:t>
      </w:r>
    </w:p>
    <w:p>
      <w:r>
        <w:rPr>
          <w:color w:val="000000"/>
        </w:rPr>
        <w:t>清洗顺序为日期对齐、币种统一、现金流识别、缺失与异常复核、收益计算。停牌或估值滞后不能直接当作低风险证据；组合和基准不同交易日的缺失值也不应机械填零。</w:t>
      </w:r>
    </w:p>
    <w:p>
      <w:pPr>
        <w:spacing w:line="276" w:lineRule="auto" w:after="100"/>
      </w:pPr>
      <w:r>
        <w:rPr>
          <w:color w:val="000000"/>
          <w:sz w:val="18"/>
        </w:rPr>
        <w:t>记号约定：p 为组合，b 为基准，m 为市场，f 为无风险资产；t 为观测期，n 为样本期数，K 为一年期数（月度取 12，日度按统一交易日约定）。百分比表示收益率，百分点表示两项收益率之差，1 bp = 0.01 个百分点。</w:t>
      </w:r>
    </w:p>
    <w:p>
      <w:pPr>
        <w:pStyle w:val="Heading1"/>
        <w:pageBreakBefore/>
      </w:pPr>
      <w:r>
        <w:rPr>
          <w:color w:val="000000"/>
        </w:rPr>
        <w:t>二 收益衡量与计算口径</w:t>
      </w:r>
    </w:p>
    <w:p>
      <w:pPr>
        <w:pStyle w:val="Heading2"/>
      </w:pPr>
      <w:r>
        <w:rPr>
          <w:color w:val="000000"/>
        </w:rPr>
        <w:t>1 先计算单期收益</w:t>
      </w:r>
    </w:p>
    <w:p>
      <w:r>
        <w:rPr>
          <w:color w:val="000000"/>
        </w:rPr>
        <w:t>若使用已正确复权的单位净值，单期收益等于本期净值除以上期净值再减一。若使用未复权价格，应单独计入分红或利息，避免漏计收益或重复计入现金分配。</w:t>
      </w:r>
    </w:p>
    <w:p>
      <w:pPr>
        <w:keepLines/>
        <w:spacing w:before="60" w:after="140"/>
        <w:jc w:val="center"/>
      </w:pPr>
      <m:oMathPara>
        <m:oMath>
          <m:sSub>
            <m:e>
              <m:r>
                <w:rPr>
                  <w:rFonts w:ascii="Cambria Math" w:hAnsi="Cambria Math"/>
                  <w:sz w:val="22"/>
                </w:rPr>
                <m:t>r</m:t>
              </m:r>
            </m:e>
            <m:sub>
              <m:r>
                <w:rPr>
                  <w:rFonts w:ascii="Cambria Math" w:hAnsi="Cambria Math"/>
                  <w:sz w:val="22"/>
                </w:rPr>
                <m:t>p,t</m:t>
              </m:r>
            </m:sub>
          </m:sSub>
          <m:r>
            <w:rPr>
              <w:rFonts w:ascii="Cambria Math" w:hAnsi="Cambria Math"/>
              <w:sz w:val="22"/>
            </w:rPr>
            <m:t> = </m:t>
          </m:r>
          <m:f>
            <m:num>
              <m:sSub>
                <m:e>
                  <m:r>
                    <w:rPr>
                      <w:rFonts w:ascii="Cambria Math" w:hAnsi="Cambria Math"/>
                      <w:sz w:val="22"/>
                    </w:rPr>
                    <m:t>NAV</m:t>
                  </m:r>
                </m:e>
                <m:sub>
                  <m:r>
                    <w:rPr>
                      <w:rFonts w:ascii="Cambria Math" w:hAnsi="Cambria Math"/>
                      <w:sz w:val="22"/>
                    </w:rPr>
                    <m:t>t</m:t>
                  </m:r>
                </m:sub>
              </m:sSub>
            </m:num>
            <m:den>
              <m:sSub>
                <m:e>
                  <m:r>
                    <w:rPr>
                      <w:rFonts w:ascii="Cambria Math" w:hAnsi="Cambria Math"/>
                      <w:sz w:val="22"/>
                    </w:rPr>
                    <m:t>NAV</m:t>
                  </m:r>
                </m:e>
                <m:sub>
                  <m:r>
                    <w:rPr>
                      <w:rFonts w:ascii="Cambria Math" w:hAnsi="Cambria Math"/>
                      <w:sz w:val="22"/>
                    </w:rPr>
                    <m:t>t−1</m:t>
                  </m:r>
                </m:sub>
              </m:sSub>
            </m:den>
          </m:f>
          <m:r>
            <w:rPr>
              <w:rFonts w:ascii="Cambria Math" w:hAnsi="Cambria Math"/>
              <w:sz w:val="22"/>
            </w:rPr>
            <m:t> − 1</m:t>
          </m:r>
        </m:oMath>
      </m:oMathPara>
    </w:p>
    <w:p>
      <w:r>
        <w:rPr>
          <w:color w:val="000000"/>
        </w:rPr>
        <w:t>若使用账户资产价值，必须剔除申购赎回等外部现金流。下式 NCF 以流入账户为正，仅适用于现金流发生在期末的情形；期中大额现金流应按现金流发生时点拆分子期。</w:t>
      </w:r>
    </w:p>
    <w:p>
      <w:pPr>
        <w:keepLines/>
        <w:spacing w:before="60" w:after="140"/>
        <w:jc w:val="center"/>
      </w:pPr>
      <m:oMathPara>
        <m:oMath>
          <m:sSub>
            <m:e>
              <m:r>
                <w:rPr>
                  <w:rFonts w:ascii="Cambria Math" w:hAnsi="Cambria Math"/>
                  <w:sz w:val="22"/>
                </w:rPr>
                <m:t>r</m:t>
              </m:r>
            </m:e>
            <m:sub>
              <m:r>
                <w:rPr>
                  <w:rFonts w:ascii="Cambria Math" w:hAnsi="Cambria Math"/>
                  <w:sz w:val="22"/>
                </w:rPr>
                <m:t>t</m:t>
              </m:r>
            </m:sub>
          </m:sSub>
          <m:r>
            <w:rPr>
              <w:rFonts w:ascii="Cambria Math" w:hAnsi="Cambria Math"/>
              <w:sz w:val="22"/>
            </w:rPr>
            <m:t> = </m:t>
          </m:r>
          <m:f>
            <m:num>
              <m:sSub>
                <m:e>
                  <m:r>
                    <w:rPr>
                      <w:rFonts w:ascii="Cambria Math" w:hAnsi="Cambria Math"/>
                      <w:sz w:val="22"/>
                    </w:rPr>
                    <m:t>V</m:t>
                  </m:r>
                </m:e>
                <m:sub>
                  <m:r>
                    <w:rPr>
                      <w:rFonts w:ascii="Cambria Math" w:hAnsi="Cambria Math"/>
                      <w:sz w:val="22"/>
                    </w:rPr>
                    <m:t>t</m:t>
                  </m:r>
                </m:sub>
              </m:sSub>
              <m:r>
                <w:rPr>
                  <w:rFonts w:ascii="Cambria Math" w:hAnsi="Cambria Math"/>
                  <w:sz w:val="22"/>
                </w:rPr>
                <m:t> − </m:t>
              </m:r>
              <m:sSub>
                <m:e>
                  <m:r>
                    <w:rPr>
                      <w:rFonts w:ascii="Cambria Math" w:hAnsi="Cambria Math"/>
                      <w:sz w:val="22"/>
                    </w:rPr>
                    <m:t>NCF</m:t>
                  </m:r>
                </m:e>
                <m:sub>
                  <m:r>
                    <w:rPr>
                      <w:rFonts w:ascii="Cambria Math" w:hAnsi="Cambria Math"/>
                      <w:sz w:val="22"/>
                    </w:rPr>
                    <m:t>t</m:t>
                  </m:r>
                </m:sub>
              </m:sSub>
            </m:num>
            <m:den>
              <m:sSub>
                <m:e>
                  <m:r>
                    <w:rPr>
                      <w:rFonts w:ascii="Cambria Math" w:hAnsi="Cambria Math"/>
                      <w:sz w:val="22"/>
                    </w:rPr>
                    <m:t>V</m:t>
                  </m:r>
                </m:e>
                <m:sub>
                  <m:r>
                    <w:rPr>
                      <w:rFonts w:ascii="Cambria Math" w:hAnsi="Cambria Math"/>
                      <w:sz w:val="22"/>
                    </w:rPr>
                    <m:t>t−1</m:t>
                  </m:r>
                </m:sub>
              </m:sSub>
            </m:den>
          </m:f>
          <m:r>
            <w:rPr>
              <w:rFonts w:ascii="Cambria Math" w:hAnsi="Cambria Math"/>
              <w:sz w:val="22"/>
            </w:rPr>
            <m:t> − 1</m:t>
          </m:r>
        </m:oMath>
      </m:oMathPara>
    </w:p>
    <w:p>
      <w:pPr>
        <w:pStyle w:val="Heading2"/>
      </w:pPr>
      <w:r>
        <w:rPr>
          <w:color w:val="000000"/>
        </w:rPr>
        <w:t>2 时间加权收益衡量组合管理表现</w:t>
      </w:r>
    </w:p>
    <w:p>
      <w:r>
        <w:rPr>
          <w:color w:val="000000"/>
        </w:rPr>
        <w:t>TWR 将各无外部现金流子期的收益率几何连接，用于尽量排除客户投入或撤出资金时点的影响。累计收益不取 n 次根；开方或幂运算用于计算几何平均或年化收益。[1]</w:t>
      </w:r>
    </w:p>
    <w:p>
      <w:pPr>
        <w:keepLines/>
        <w:spacing w:before="60" w:after="140"/>
        <w:jc w:val="center"/>
      </w:pPr>
      <m:oMathPara>
        <m:oMath>
          <m:sSub>
            <m:e>
              <m:r>
                <w:rPr>
                  <w:rFonts w:ascii="Cambria Math" w:hAnsi="Cambria Math"/>
                  <w:sz w:val="22"/>
                </w:rPr>
                <m:t>R</m:t>
              </m:r>
            </m:e>
            <m:sub>
              <m:r>
                <w:rPr>
                  <w:rFonts w:ascii="Cambria Math" w:hAnsi="Cambria Math"/>
                  <w:sz w:val="22"/>
                </w:rPr>
                <m:t>TWR</m:t>
              </m:r>
            </m:sub>
          </m:sSub>
          <m:r>
            <w:rPr>
              <w:rFonts w:ascii="Cambria Math" w:hAnsi="Cambria Math"/>
              <w:sz w:val="22"/>
            </w:rPr>
            <m:t> = </m:t>
          </m:r>
          <m:nary>
            <m:naryPr>
              <m:chr m:val="∏"/>
              <m:limLoc m:val="subSup"/>
            </m:naryPr>
            <m:sub>
              <m:r>
                <w:rPr>
                  <w:rFonts w:ascii="Cambria Math" w:hAnsi="Cambria Math"/>
                  <w:sz w:val="22"/>
                </w:rPr>
                <m:t>j=1</m:t>
              </m:r>
            </m:sub>
            <m:sup>
              <m:r>
                <w:rPr>
                  <w:rFonts w:ascii="Cambria Math" w:hAnsi="Cambria Math"/>
                  <w:sz w:val="22"/>
                </w:rPr>
                <m:t>n</m:t>
              </m:r>
            </m:sup>
            <m:e>
              <m:r>
                <w:rPr>
                  <w:rFonts w:ascii="Cambria Math" w:hAnsi="Cambria Math"/>
                  <w:sz w:val="22"/>
                </w:rPr>
                <m:t>(1 + </m:t>
              </m:r>
              <m:sSub>
                <m:e>
                  <m:r>
                    <w:rPr>
                      <w:rFonts w:ascii="Cambria Math" w:hAnsi="Cambria Math"/>
                      <w:sz w:val="22"/>
                    </w:rPr>
                    <m:t>r</m:t>
                  </m:r>
                </m:e>
                <m:sub>
                  <m:r>
                    <w:rPr>
                      <w:rFonts w:ascii="Cambria Math" w:hAnsi="Cambria Math"/>
                      <w:sz w:val="22"/>
                    </w:rPr>
                    <m:t>j</m:t>
                  </m:r>
                </m:sub>
              </m:sSub>
              <m:r>
                <w:rPr>
                  <w:rFonts w:ascii="Cambria Math" w:hAnsi="Cambria Math"/>
                  <w:sz w:val="22"/>
                </w:rPr>
                <m:t>)</m:t>
              </m:r>
            </m:e>
          </m:nary>
          <m:r>
            <w:rPr>
              <w:rFonts w:ascii="Cambria Math" w:hAnsi="Cambria Math"/>
              <w:sz w:val="22"/>
            </w:rPr>
            <m:t> − 1</m:t>
          </m:r>
        </m:oMath>
      </m:oMathPara>
    </w:p>
    <w:p>
      <w:pPr>
        <w:keepLines/>
        <w:spacing w:before="60" w:after="140"/>
        <w:jc w:val="center"/>
      </w:pPr>
      <m:oMathPara>
        <m:oMath>
          <m:sSub>
            <m:e>
              <m:r>
                <w:rPr>
                  <w:rFonts w:ascii="Cambria Math" w:hAnsi="Cambria Math"/>
                  <w:sz w:val="22"/>
                </w:rPr>
                <m:t>R</m:t>
              </m:r>
            </m:e>
            <m:sub>
              <m:r>
                <w:rPr>
                  <w:rFonts w:ascii="Cambria Math" w:hAnsi="Cambria Math"/>
                  <w:sz w:val="22"/>
                </w:rPr>
                <m:t>ann</m:t>
              </m:r>
            </m:sub>
          </m:sSub>
          <m:r>
            <w:rPr>
              <w:rFonts w:ascii="Cambria Math" w:hAnsi="Cambria Math"/>
              <w:sz w:val="22"/>
            </w:rPr>
            <m:t> = </m:t>
          </m:r>
          <m:sSup>
            <m:e>
              <m:r>
                <w:rPr>
                  <w:rFonts w:ascii="Cambria Math" w:hAnsi="Cambria Math"/>
                  <w:sz w:val="22"/>
                </w:rPr>
                <m:t>(1 + </m:t>
              </m:r>
              <m:sSub>
                <m:e>
                  <m:r>
                    <w:rPr>
                      <w:rFonts w:ascii="Cambria Math" w:hAnsi="Cambria Math"/>
                      <w:sz w:val="22"/>
                    </w:rPr>
                    <m:t>R</m:t>
                  </m:r>
                </m:e>
                <m:sub>
                  <m:r>
                    <w:rPr>
                      <w:rFonts w:ascii="Cambria Math" w:hAnsi="Cambria Math"/>
                      <w:sz w:val="22"/>
                    </w:rPr>
                    <m:t>TWR</m:t>
                  </m:r>
                </m:sub>
              </m:sSub>
              <m:r>
                <w:rPr>
                  <w:rFonts w:ascii="Cambria Math" w:hAnsi="Cambria Math"/>
                  <w:sz w:val="22"/>
                </w:rPr>
                <m:t>)</m:t>
              </m:r>
            </m:e>
            <m:sup>
              <m:f>
                <m:num>
                  <m:r>
                    <w:rPr>
                      <w:rFonts w:ascii="Cambria Math" w:hAnsi="Cambria Math"/>
                      <w:sz w:val="22"/>
                    </w:rPr>
                    <m:t>1</m:t>
                  </m:r>
                </m:num>
                <m:den>
                  <m:r>
                    <w:rPr>
                      <w:rFonts w:ascii="Cambria Math" w:hAnsi="Cambria Math"/>
                      <w:sz w:val="22"/>
                    </w:rPr>
                    <m:t>T</m:t>
                  </m:r>
                </m:den>
              </m:f>
            </m:sup>
          </m:sSup>
          <m:r>
            <w:rPr>
              <w:rFonts w:ascii="Cambria Math" w:hAnsi="Cambria Math"/>
              <w:sz w:val="22"/>
            </w:rPr>
            <m:t> − 1</m:t>
          </m:r>
        </m:oMath>
      </m:oMathPara>
    </w:p>
    <w:p>
      <w:pPr>
        <w:spacing w:line="276" w:lineRule="auto" w:after="100"/>
      </w:pPr>
      <w:r>
        <w:rPr>
          <w:color w:val="000000"/>
          <w:sz w:val="18"/>
        </w:rPr>
        <w:t>T 为评价区间的年数。若使用 n 个等长观测期，则 T = n/K；若按现金流拆成不等长子期，不得用子期个数直接年化。不足一年的结果宜优先报告实际区间收益。</w:t>
      </w:r>
    </w:p>
    <w:p>
      <w:r>
        <w:rPr>
          <w:color w:val="000000"/>
        </w:rPr>
        <w:t>演示：期初投入 100，第一年末变为 110；随后追加 50，第二年末资产为 144。两年子期收益分别为 10% 和 −10%，TWR 累计收益为 1.10 × 0.90 − 1 = −1.00%，年化约为 −0.50%。资产终值增加不代表投资盈利。</w:t>
      </w:r>
    </w:p>
    <w:p>
      <w:pPr>
        <w:pStyle w:val="Heading2"/>
      </w:pPr>
      <w:r>
        <w:rPr>
          <w:color w:val="000000"/>
        </w:rPr>
        <w:t>3 资金加权收益衡量投资者的实际资金体验</w:t>
      </w:r>
    </w:p>
    <w:p>
      <w:r>
        <w:rPr>
          <w:color w:val="000000"/>
        </w:rPr>
        <w:t>MWR 通常以内部收益率 IRR 表示。按投资者视角，投入为负、收回为正；将期末剩余资产作为最后一笔正现金流，求使净现值为零的收益率。不规则日期使用 XIRR。[1]</w:t>
      </w:r>
    </w:p>
    <w:p>
      <w:pPr>
        <w:keepLines/>
        <w:spacing w:before="60" w:after="140"/>
        <w:jc w:val="center"/>
      </w:pPr>
      <m:oMathPara>
        <m:oMath>
          <m:r>
            <w:rPr>
              <w:rFonts w:ascii="Cambria Math" w:hAnsi="Cambria Math"/>
              <w:sz w:val="22"/>
            </w:rPr>
            <m:t>0 = </m:t>
          </m:r>
          <m:nary>
            <m:naryPr>
              <m:chr m:val="∑"/>
              <m:limLoc m:val="subSup"/>
            </m:naryPr>
            <m:sub>
              <m:r>
                <w:rPr>
                  <w:rFonts w:ascii="Cambria Math" w:hAnsi="Cambria Math"/>
                  <w:sz w:val="22"/>
                </w:rPr>
                <m:t>j=0</m:t>
              </m:r>
            </m:sub>
            <m:sup>
              <m:r>
                <w:rPr>
                  <w:rFonts w:ascii="Cambria Math" w:hAnsi="Cambria Math"/>
                  <w:sz w:val="22"/>
                </w:rPr>
                <m:t>N</m:t>
              </m:r>
            </m:sup>
            <m:e>
              <m:f>
                <m:num>
                  <m:sSub>
                    <m:e>
                      <m:r>
                        <w:rPr>
                          <w:rFonts w:ascii="Cambria Math" w:hAnsi="Cambria Math"/>
                          <w:sz w:val="22"/>
                        </w:rPr>
                        <m:t>CF</m:t>
                      </m:r>
                    </m:e>
                    <m:sub>
                      <m:r>
                        <w:rPr>
                          <w:rFonts w:ascii="Cambria Math" w:hAnsi="Cambria Math"/>
                          <w:sz w:val="22"/>
                        </w:rPr>
                        <m:t>j</m:t>
                      </m:r>
                    </m:sub>
                  </m:sSub>
                </m:num>
                <m:den>
                  <m:sSup>
                    <m:e>
                      <m:r>
                        <w:rPr>
                          <w:rFonts w:ascii="Cambria Math" w:hAnsi="Cambria Math"/>
                          <w:sz w:val="22"/>
                        </w:rPr>
                        <m:t>(1 + i)</m:t>
                      </m:r>
                    </m:e>
                    <m:sup>
                      <m:f>
                        <m:num>
                          <m:sSub>
                            <m:e>
                              <m:r>
                                <w:rPr>
                                  <w:rFonts w:ascii="Cambria Math" w:hAnsi="Cambria Math"/>
                                  <w:sz w:val="22"/>
                                </w:rPr>
                                <m:t>d</m:t>
                              </m:r>
                            </m:e>
                            <m:sub>
                              <m:r>
                                <w:rPr>
                                  <w:rFonts w:ascii="Cambria Math" w:hAnsi="Cambria Math"/>
                                  <w:sz w:val="22"/>
                                </w:rPr>
                                <m:t>j</m:t>
                              </m:r>
                            </m:sub>
                          </m:sSub>
                          <m:r>
                            <w:rPr>
                              <w:rFonts w:ascii="Cambria Math" w:hAnsi="Cambria Math"/>
                              <w:sz w:val="22"/>
                            </w:rPr>
                            <m:t> − </m:t>
                          </m:r>
                          <m:sSub>
                            <m:e>
                              <m:r>
                                <w:rPr>
                                  <w:rFonts w:ascii="Cambria Math" w:hAnsi="Cambria Math"/>
                                  <w:sz w:val="22"/>
                                </w:rPr>
                                <m:t>d</m:t>
                              </m:r>
                            </m:e>
                            <m:sub>
                              <m:r>
                                <w:rPr>
                                  <w:rFonts w:ascii="Cambria Math" w:hAnsi="Cambria Math"/>
                                  <w:sz w:val="22"/>
                                </w:rPr>
                                <m:t>0</m:t>
                              </m:r>
                            </m:sub>
                          </m:sSub>
                        </m:num>
                        <m:den>
                          <m:r>
                            <w:rPr>
                              <w:rFonts w:ascii="Cambria Math" w:hAnsi="Cambria Math"/>
                              <w:sz w:val="22"/>
                            </w:rPr>
                            <m:t>365</m:t>
                          </m:r>
                        </m:den>
                      </m:f>
                    </m:sup>
                  </m:sSup>
                </m:den>
              </m:f>
            </m:e>
          </m:nary>
        </m:oMath>
      </m:oMathPara>
    </w:p>
    <w:p>
      <w:r>
        <w:rPr>
          <w:color w:val="000000"/>
        </w:rPr>
        <w:t>上例若两个间隔均为整年，则求解 −100 − 50 ÷ (1 + i) + 144 ÷ (1 + i)² = 0，得到资金加权年化收益约 −2.42%。它与时间加权收益的差异来自资金投入时点和金额，不能据此直接评价经理优劣。</w:t>
      </w:r>
    </w:p>
    <w:p>
      <w:pPr>
        <w:pStyle w:val="Heading2"/>
      </w:pPr>
      <w:r>
        <w:rPr>
          <w:color w:val="000000"/>
        </w:rPr>
        <w:t>4 区分两种超额收益</w:t>
      </w:r>
    </w:p>
    <w:p>
      <w:r>
        <w:rPr>
          <w:color w:val="000000"/>
        </w:rPr>
        <w:t>累计收益差额为组合累计收益减去基准累计收益，单位为百分点；几何相对收益为两者财富增长倍数之比再减一。两者含义不同，报告应注明口径。单期主动收益定义为组合收益减去同期基准收益，供跟踪误差和信息比率使用。</w:t>
      </w:r>
    </w:p>
    <w:p>
      <w:pPr>
        <w:keepLines/>
        <w:spacing w:before="60" w:after="140"/>
        <w:jc w:val="center"/>
      </w:pPr>
      <m:oMathPara>
        <m:oMath>
          <m:sSub>
            <m:e>
              <m:r>
                <w:rPr>
                  <w:rFonts w:ascii="Cambria Math" w:hAnsi="Cambria Math"/>
                  <w:sz w:val="22"/>
                </w:rPr>
                <m:t>a</m:t>
              </m:r>
            </m:e>
            <m:sub>
              <m:r>
                <w:rPr>
                  <w:rFonts w:ascii="Cambria Math" w:hAnsi="Cambria Math"/>
                  <w:sz w:val="22"/>
                </w:rPr>
                <m:t>t</m:t>
              </m:r>
            </m:sub>
          </m:sSub>
          <m:r>
            <w:rPr>
              <w:rFonts w:ascii="Cambria Math" w:hAnsi="Cambria Math"/>
              <w:sz w:val="22"/>
            </w:rPr>
            <m:t> = </m:t>
          </m:r>
          <m:sSub>
            <m:e>
              <m:r>
                <w:rPr>
                  <w:rFonts w:ascii="Cambria Math" w:hAnsi="Cambria Math"/>
                  <w:sz w:val="22"/>
                </w:rPr>
                <m:t>r</m:t>
              </m:r>
            </m:e>
            <m:sub>
              <m:r>
                <w:rPr>
                  <w:rFonts w:ascii="Cambria Math" w:hAnsi="Cambria Math"/>
                  <w:sz w:val="22"/>
                </w:rPr>
                <m:t>p,t</m:t>
              </m:r>
            </m:sub>
          </m:sSub>
          <m:r>
            <w:rPr>
              <w:rFonts w:ascii="Cambria Math" w:hAnsi="Cambria Math"/>
              <w:sz w:val="22"/>
            </w:rPr>
            <m:t> − </m:t>
          </m:r>
          <m:sSub>
            <m:e>
              <m:r>
                <w:rPr>
                  <w:rFonts w:ascii="Cambria Math" w:hAnsi="Cambria Math"/>
                  <w:sz w:val="22"/>
                </w:rPr>
                <m:t>r</m:t>
              </m:r>
            </m:e>
            <m:sub>
              <m:r>
                <w:rPr>
                  <w:rFonts w:ascii="Cambria Math" w:hAnsi="Cambria Math"/>
                  <w:sz w:val="22"/>
                </w:rPr>
                <m:t>b,t</m:t>
              </m:r>
            </m:sub>
          </m:sSub>
          <m:r>
            <w:rPr>
              <w:rFonts w:ascii="Cambria Math" w:hAnsi="Cambria Math"/>
              <w:sz w:val="22"/>
            </w:rPr>
            <m:t>;    </m:t>
          </m:r>
          <m:sSub>
            <m:e>
              <m:r>
                <w:rPr>
                  <w:rFonts w:ascii="Cambria Math" w:hAnsi="Cambria Math"/>
                  <w:sz w:val="22"/>
                </w:rPr>
                <m:t>R</m:t>
              </m:r>
            </m:e>
            <m:sub>
              <m:r>
                <w:rPr>
                  <w:rFonts w:ascii="Cambria Math" w:hAnsi="Cambria Math"/>
                  <w:sz w:val="22"/>
                </w:rPr>
                <m:t>rel</m:t>
              </m:r>
            </m:sub>
          </m:sSub>
          <m:r>
            <w:rPr>
              <w:rFonts w:ascii="Cambria Math" w:hAnsi="Cambria Math"/>
              <w:sz w:val="22"/>
            </w:rPr>
            <m:t> = </m:t>
          </m:r>
          <m:f>
            <m:num>
              <m:r>
                <w:rPr>
                  <w:rFonts w:ascii="Cambria Math" w:hAnsi="Cambria Math"/>
                  <w:sz w:val="22"/>
                </w:rPr>
                <m:t>1 + </m:t>
              </m:r>
              <m:sSub>
                <m:e>
                  <m:r>
                    <w:rPr>
                      <w:rFonts w:ascii="Cambria Math" w:hAnsi="Cambria Math"/>
                      <w:sz w:val="22"/>
                    </w:rPr>
                    <m:t>R</m:t>
                  </m:r>
                </m:e>
                <m:sub>
                  <m:r>
                    <w:rPr>
                      <w:rFonts w:ascii="Cambria Math" w:hAnsi="Cambria Math"/>
                      <w:sz w:val="22"/>
                    </w:rPr>
                    <m:t>p</m:t>
                  </m:r>
                </m:sub>
              </m:sSub>
            </m:num>
            <m:den>
              <m:r>
                <w:rPr>
                  <w:rFonts w:ascii="Cambria Math" w:hAnsi="Cambria Math"/>
                  <w:sz w:val="22"/>
                </w:rPr>
                <m:t>1 + </m:t>
              </m:r>
              <m:sSub>
                <m:e>
                  <m:r>
                    <w:rPr>
                      <w:rFonts w:ascii="Cambria Math" w:hAnsi="Cambria Math"/>
                      <w:sz w:val="22"/>
                    </w:rPr>
                    <m:t>R</m:t>
                  </m:r>
                </m:e>
                <m:sub>
                  <m:r>
                    <w:rPr>
                      <w:rFonts w:ascii="Cambria Math" w:hAnsi="Cambria Math"/>
                      <w:sz w:val="22"/>
                    </w:rPr>
                    <m:t>b</m:t>
                  </m:r>
                </m:sub>
              </m:sSub>
            </m:den>
          </m:f>
          <m:r>
            <w:rPr>
              <w:rFonts w:ascii="Cambria Math" w:hAnsi="Cambria Math"/>
              <w:sz w:val="22"/>
            </w:rPr>
            <m:t> − 1</m:t>
          </m:r>
        </m:oMath>
      </m:oMathPara>
    </w:p>
    <w:p>
      <w:pPr>
        <w:pStyle w:val="Heading1"/>
        <w:pageBreakBefore/>
      </w:pPr>
      <w:r>
        <w:rPr>
          <w:color w:val="000000"/>
        </w:rPr>
        <w:t>三 风险调整后的绩效衡量</w:t>
      </w:r>
    </w:p>
    <w:p>
      <w:r>
        <w:rPr>
          <w:color w:val="000000"/>
        </w:rPr>
        <w:t>总风险指标用于评价整体资金体验，主动风险指标用于评价相对基准的管理效率。比率计算采用同频收益的算术均值和样本标准差；报告年化累计收益时采用几何口径，二者不能混用。[2]</w:t>
      </w:r>
    </w:p>
    <w:p>
      <w:pPr>
        <w:pStyle w:val="Heading2"/>
      </w:pPr>
      <w:r>
        <w:rPr>
          <w:color w:val="000000"/>
        </w:rPr>
        <w:t>1 波动率与最大回撤</w:t>
      </w:r>
    </w:p>
    <w:p>
      <w:pPr>
        <w:keepLines/>
        <w:spacing w:before="60" w:after="140"/>
        <w:jc w:val="center"/>
      </w:pPr>
      <m:oMathPara>
        <m:oMath>
          <m:sSub>
            <m:e>
              <m:r>
                <w:rPr>
                  <w:rFonts w:ascii="Cambria Math" w:hAnsi="Cambria Math"/>
                  <w:sz w:val="22"/>
                </w:rPr>
                <m:t>σ</m:t>
              </m:r>
            </m:e>
            <m:sub>
              <m:r>
                <w:rPr>
                  <w:rFonts w:ascii="Cambria Math" w:hAnsi="Cambria Math"/>
                  <w:sz w:val="22"/>
                </w:rPr>
                <m:t>ann</m:t>
              </m:r>
            </m:sub>
          </m:sSub>
          <m:r>
            <w:rPr>
              <w:rFonts w:ascii="Cambria Math" w:hAnsi="Cambria Math"/>
              <w:sz w:val="22"/>
            </w:rPr>
            <m:t> = s(</m:t>
          </m:r>
          <m:sSub>
            <m:e>
              <m:r>
                <w:rPr>
                  <w:rFonts w:ascii="Cambria Math" w:hAnsi="Cambria Math"/>
                  <w:sz w:val="22"/>
                </w:rPr>
                <m:t>r</m:t>
              </m:r>
            </m:e>
            <m:sub>
              <m:r>
                <w:rPr>
                  <w:rFonts w:ascii="Cambria Math" w:hAnsi="Cambria Math"/>
                  <w:sz w:val="22"/>
                </w:rPr>
                <m:t>p,t</m:t>
              </m:r>
            </m:sub>
          </m:sSub>
          <m:r>
            <w:rPr>
              <w:rFonts w:ascii="Cambria Math" w:hAnsi="Cambria Math"/>
              <w:sz w:val="22"/>
            </w:rPr>
            <m:t>)</m:t>
          </m:r>
          <m:rad>
            <m:radPr>
              <m:degHide m:val="1"/>
            </m:radPr>
            <m:deg/>
            <m:e>
              <m:r>
                <w:rPr>
                  <w:rFonts w:ascii="Cambria Math" w:hAnsi="Cambria Math"/>
                  <w:sz w:val="22"/>
                </w:rPr>
                <m:t>K</m:t>
              </m:r>
            </m:e>
          </m:rad>
          <m:r>
            <w:rPr>
              <w:rFonts w:ascii="Cambria Math" w:hAnsi="Cambria Math"/>
              <w:sz w:val="22"/>
            </w:rPr>
            <m:t>;    MDD = </m:t>
          </m:r>
          <m:sSub>
            <m:e>
              <m:r>
                <w:rPr>
                  <w:rFonts w:ascii="Cambria Math" w:hAnsi="Cambria Math"/>
                  <w:sz w:val="22"/>
                </w:rPr>
                <m:t>max</m:t>
              </m:r>
            </m:e>
            <m:sub>
              <m:r>
                <w:rPr>
                  <w:rFonts w:ascii="Cambria Math" w:hAnsi="Cambria Math"/>
                  <w:sz w:val="22"/>
                </w:rPr>
                <m:t>t</m:t>
              </m:r>
            </m:sub>
          </m:sSub>
          <m:r>
            <w:rPr>
              <w:rFonts w:ascii="Cambria Math" w:hAnsi="Cambria Math"/>
              <w:sz w:val="22"/>
            </w:rPr>
            <m:t>(1 − </m:t>
          </m:r>
          <m:f>
            <m:num>
              <m:sSub>
                <m:e>
                  <m:r>
                    <w:rPr>
                      <w:rFonts w:ascii="Cambria Math" w:hAnsi="Cambria Math"/>
                      <w:sz w:val="22"/>
                    </w:rPr>
                    <m:t>W</m:t>
                  </m:r>
                </m:e>
                <m:sub>
                  <m:r>
                    <w:rPr>
                      <w:rFonts w:ascii="Cambria Math" w:hAnsi="Cambria Math"/>
                      <w:sz w:val="22"/>
                    </w:rPr>
                    <m:t>t</m:t>
                  </m:r>
                </m:sub>
              </m:sSub>
            </m:num>
            <m:den>
              <m:sSub>
                <m:e>
                  <m:r>
                    <w:rPr>
                      <w:rFonts w:ascii="Cambria Math" w:hAnsi="Cambria Math"/>
                      <w:sz w:val="22"/>
                    </w:rPr>
                    <m:t>max</m:t>
                  </m:r>
                </m:e>
                <m:sub>
                  <m:r>
                    <w:rPr>
                      <w:rFonts w:ascii="Cambria Math" w:hAnsi="Cambria Math"/>
                      <w:sz w:val="22"/>
                    </w:rPr>
                    <m:t>s≤t</m:t>
                  </m:r>
                </m:sub>
              </m:sSub>
              <m:sSub>
                <m:e>
                  <m:r>
                    <w:rPr>
                      <w:rFonts w:ascii="Cambria Math" w:hAnsi="Cambria Math"/>
                      <w:sz w:val="22"/>
                    </w:rPr>
                    <m:t>W</m:t>
                  </m:r>
                </m:e>
                <m:sub>
                  <m:r>
                    <w:rPr>
                      <w:rFonts w:ascii="Cambria Math" w:hAnsi="Cambria Math"/>
                      <w:sz w:val="22"/>
                    </w:rPr>
                    <m:t>s</m:t>
                  </m:r>
                </m:sub>
              </m:sSub>
            </m:den>
          </m:f>
          <m:r>
            <w:rPr>
              <w:rFonts w:ascii="Cambria Math" w:hAnsi="Cambria Math"/>
              <w:sz w:val="22"/>
            </w:rPr>
            <m:t>)</m:t>
          </m:r>
        </m:oMath>
      </m:oMathPara>
    </w:p>
    <w:p>
      <w:r>
        <w:rPr>
          <w:color w:val="000000"/>
        </w:rPr>
        <w:t>W 是从 1 开始累计连乘得到的财富指数，历史最高值须包含初始值 1。最大回撤以正的损失幅度报告。日度与月度观察得到的最大回撤可能不同，必须披露观察频率。</w:t>
      </w:r>
    </w:p>
    <w:p>
      <w:pPr>
        <w:pStyle w:val="Heading2"/>
      </w:pPr>
      <w:r>
        <w:rPr>
          <w:color w:val="000000"/>
        </w:rPr>
        <w:t>2 夏普比率与信息比率</w:t>
      </w:r>
    </w:p>
    <w:p>
      <w:pPr>
        <w:keepLines/>
        <w:spacing w:before="60" w:after="140"/>
        <w:jc w:val="center"/>
      </w:pPr>
      <m:oMathPara>
        <m:oMath>
          <m:sSub>
            <m:e>
              <m:r>
                <w:rPr>
                  <w:rFonts w:ascii="Cambria Math" w:hAnsi="Cambria Math"/>
                  <w:sz w:val="22"/>
                </w:rPr>
                <m:t>e</m:t>
              </m:r>
            </m:e>
            <m:sub>
              <m:r>
                <w:rPr>
                  <w:rFonts w:ascii="Cambria Math" w:hAnsi="Cambria Math"/>
                  <w:sz w:val="22"/>
                </w:rPr>
                <m:t>t</m:t>
              </m:r>
            </m:sub>
          </m:sSub>
          <m:r>
            <w:rPr>
              <w:rFonts w:ascii="Cambria Math" w:hAnsi="Cambria Math"/>
              <w:sz w:val="22"/>
            </w:rPr>
            <m:t> = </m:t>
          </m:r>
          <m:sSub>
            <m:e>
              <m:r>
                <w:rPr>
                  <w:rFonts w:ascii="Cambria Math" w:hAnsi="Cambria Math"/>
                  <w:sz w:val="22"/>
                </w:rPr>
                <m:t>r</m:t>
              </m:r>
            </m:e>
            <m:sub>
              <m:r>
                <w:rPr>
                  <w:rFonts w:ascii="Cambria Math" w:hAnsi="Cambria Math"/>
                  <w:sz w:val="22"/>
                </w:rPr>
                <m:t>p,t</m:t>
              </m:r>
            </m:sub>
          </m:sSub>
          <m:r>
            <w:rPr>
              <w:rFonts w:ascii="Cambria Math" w:hAnsi="Cambria Math"/>
              <w:sz w:val="22"/>
            </w:rPr>
            <m:t> − </m:t>
          </m:r>
          <m:sSub>
            <m:e>
              <m:r>
                <w:rPr>
                  <w:rFonts w:ascii="Cambria Math" w:hAnsi="Cambria Math"/>
                  <w:sz w:val="22"/>
                </w:rPr>
                <m:t>r</m:t>
              </m:r>
            </m:e>
            <m:sub>
              <m:r>
                <w:rPr>
                  <w:rFonts w:ascii="Cambria Math" w:hAnsi="Cambria Math"/>
                  <w:sz w:val="22"/>
                </w:rPr>
                <m:t>f,t</m:t>
              </m:r>
            </m:sub>
          </m:sSub>
          <m:r>
            <w:rPr>
              <w:rFonts w:ascii="Cambria Math" w:hAnsi="Cambria Math"/>
              <w:sz w:val="22"/>
            </w:rPr>
            <m:t>;    </m:t>
          </m:r>
          <m:sSub>
            <m:e>
              <m:r>
                <w:rPr>
                  <w:rFonts w:ascii="Cambria Math" w:hAnsi="Cambria Math"/>
                  <w:sz w:val="22"/>
                </w:rPr>
                <m:t>Sharpe</m:t>
              </m:r>
            </m:e>
            <m:sub>
              <m:r>
                <w:rPr>
                  <w:rFonts w:ascii="Cambria Math" w:hAnsi="Cambria Math"/>
                  <w:sz w:val="22"/>
                </w:rPr>
                <m:t>ann</m:t>
              </m:r>
            </m:sub>
          </m:sSub>
          <m:r>
            <w:rPr>
              <w:rFonts w:ascii="Cambria Math" w:hAnsi="Cambria Math"/>
              <w:sz w:val="22"/>
            </w:rPr>
            <m:t> = </m:t>
          </m:r>
          <m:f>
            <m:num>
              <m:bar>
                <m:barPr>
                  <m:pos m:val="top"/>
                </m:barPr>
                <m:e>
                  <m:r>
                    <w:rPr>
                      <w:rFonts w:ascii="Cambria Math" w:hAnsi="Cambria Math"/>
                      <w:sz w:val="22"/>
                    </w:rPr>
                    <m:t>e</m:t>
                  </m:r>
                </m:e>
              </m:bar>
            </m:num>
            <m:den>
              <m:r>
                <w:rPr>
                  <w:rFonts w:ascii="Cambria Math" w:hAnsi="Cambria Math"/>
                  <w:sz w:val="22"/>
                </w:rPr>
                <m:t>s(e)</m:t>
              </m:r>
            </m:den>
          </m:f>
          <m:rad>
            <m:radPr>
              <m:degHide m:val="1"/>
            </m:radPr>
            <m:deg/>
            <m:e>
              <m:r>
                <w:rPr>
                  <w:rFonts w:ascii="Cambria Math" w:hAnsi="Cambria Math"/>
                  <w:sz w:val="22"/>
                </w:rPr>
                <m:t>K</m:t>
              </m:r>
            </m:e>
          </m:rad>
        </m:oMath>
      </m:oMathPara>
    </w:p>
    <w:p>
      <w:pPr>
        <w:keepLines/>
        <w:spacing w:before="60" w:after="140"/>
        <w:jc w:val="center"/>
      </w:pPr>
      <m:oMathPara>
        <m:oMath>
          <m:sSub>
            <m:e>
              <m:r>
                <w:rPr>
                  <w:rFonts w:ascii="Cambria Math" w:hAnsi="Cambria Math"/>
                  <w:sz w:val="22"/>
                </w:rPr>
                <m:t>TE</m:t>
              </m:r>
            </m:e>
            <m:sub>
              <m:r>
                <w:rPr>
                  <w:rFonts w:ascii="Cambria Math" w:hAnsi="Cambria Math"/>
                  <w:sz w:val="22"/>
                </w:rPr>
                <m:t>ann</m:t>
              </m:r>
            </m:sub>
          </m:sSub>
          <m:r>
            <w:rPr>
              <w:rFonts w:ascii="Cambria Math" w:hAnsi="Cambria Math"/>
              <w:sz w:val="22"/>
            </w:rPr>
            <m:t> = s(</m:t>
          </m:r>
          <m:sSub>
            <m:e>
              <m:r>
                <w:rPr>
                  <w:rFonts w:ascii="Cambria Math" w:hAnsi="Cambria Math"/>
                  <w:sz w:val="22"/>
                </w:rPr>
                <m:t>a</m:t>
              </m:r>
            </m:e>
            <m:sub>
              <m:r>
                <w:rPr>
                  <w:rFonts w:ascii="Cambria Math" w:hAnsi="Cambria Math"/>
                  <w:sz w:val="22"/>
                </w:rPr>
                <m:t>t</m:t>
              </m:r>
            </m:sub>
          </m:sSub>
          <m:r>
            <w:rPr>
              <w:rFonts w:ascii="Cambria Math" w:hAnsi="Cambria Math"/>
              <w:sz w:val="22"/>
            </w:rPr>
            <m:t>)</m:t>
          </m:r>
          <m:rad>
            <m:radPr>
              <m:degHide m:val="1"/>
            </m:radPr>
            <m:deg/>
            <m:e>
              <m:r>
                <w:rPr>
                  <w:rFonts w:ascii="Cambria Math" w:hAnsi="Cambria Math"/>
                  <w:sz w:val="22"/>
                </w:rPr>
                <m:t>K</m:t>
              </m:r>
            </m:e>
          </m:rad>
          <m:r>
            <w:rPr>
              <w:rFonts w:ascii="Cambria Math" w:hAnsi="Cambria Math"/>
              <w:sz w:val="22"/>
            </w:rPr>
            <m:t>;    </m:t>
          </m:r>
          <m:sSub>
            <m:e>
              <m:r>
                <w:rPr>
                  <w:rFonts w:ascii="Cambria Math" w:hAnsi="Cambria Math"/>
                  <w:sz w:val="22"/>
                </w:rPr>
                <m:t>IR</m:t>
              </m:r>
            </m:e>
            <m:sub>
              <m:r>
                <w:rPr>
                  <w:rFonts w:ascii="Cambria Math" w:hAnsi="Cambria Math"/>
                  <w:sz w:val="22"/>
                </w:rPr>
                <m:t>ann</m:t>
              </m:r>
            </m:sub>
          </m:sSub>
          <m:r>
            <w:rPr>
              <w:rFonts w:ascii="Cambria Math" w:hAnsi="Cambria Math"/>
              <w:sz w:val="22"/>
            </w:rPr>
            <m:t> = </m:t>
          </m:r>
          <m:f>
            <m:num>
              <m:bar>
                <m:barPr>
                  <m:pos m:val="top"/>
                </m:barPr>
                <m:e>
                  <m:r>
                    <w:rPr>
                      <w:rFonts w:ascii="Cambria Math" w:hAnsi="Cambria Math"/>
                      <w:sz w:val="22"/>
                    </w:rPr>
                    <m:t>a</m:t>
                  </m:r>
                </m:e>
              </m:bar>
            </m:num>
            <m:den>
              <m:r>
                <w:rPr>
                  <w:rFonts w:ascii="Cambria Math" w:hAnsi="Cambria Math"/>
                  <w:sz w:val="22"/>
                </w:rPr>
                <m:t>s(a)</m:t>
              </m:r>
            </m:den>
          </m:f>
          <m:rad>
            <m:radPr>
              <m:degHide m:val="1"/>
            </m:radPr>
            <m:deg/>
            <m:e>
              <m:r>
                <w:rPr>
                  <w:rFonts w:ascii="Cambria Math" w:hAnsi="Cambria Math"/>
                  <w:sz w:val="22"/>
                </w:rPr>
                <m:t>K</m:t>
              </m:r>
            </m:e>
          </m:rad>
        </m:oMath>
      </m:oMathPara>
    </w:p>
    <w:p>
      <w:r>
        <w:rPr>
          <w:color w:val="000000"/>
        </w:rPr>
        <w:t>Sharpe 衡量单位超额收益波动对应的收益，本文分母采用组合减无风险收益的标准差；无风险收益固定时，它等于组合收益波动率。IR 衡量单位主动风险对应的主动收益。基准选择会直接影响 IR 的解释；TE 越低并不一定越好，应对照目标主动风险。</w:t>
      </w:r>
    </w:p>
    <w:p>
      <w:pPr>
        <w:pStyle w:val="Heading2"/>
      </w:pPr>
      <w:r>
        <w:rPr>
          <w:color w:val="000000"/>
        </w:rPr>
        <w:t>3 市场风险与风险匹配后的收益</w:t>
      </w:r>
    </w:p>
    <w:p>
      <w:pPr>
        <w:keepLines/>
        <w:spacing w:before="60" w:after="140"/>
        <w:jc w:val="center"/>
      </w:pPr>
      <m:oMathPara>
        <m:oMath>
          <m:sSub>
            <m:e>
              <m:r>
                <w:rPr>
                  <w:rFonts w:ascii="Cambria Math" w:hAnsi="Cambria Math"/>
                  <w:sz w:val="22"/>
                </w:rPr>
                <m:t>Treynor</m:t>
              </m:r>
            </m:e>
            <m:sub>
              <m:r>
                <w:rPr>
                  <w:rFonts w:ascii="Cambria Math" w:hAnsi="Cambria Math"/>
                  <w:sz w:val="22"/>
                </w:rPr>
                <m:t>ann</m:t>
              </m:r>
            </m:sub>
          </m:sSub>
          <m:r>
            <w:rPr>
              <w:rFonts w:ascii="Cambria Math" w:hAnsi="Cambria Math"/>
              <w:sz w:val="22"/>
            </w:rPr>
            <m:t> = </m:t>
          </m:r>
          <m:f>
            <m:num>
              <m:r>
                <w:rPr>
                  <w:rFonts w:ascii="Cambria Math" w:hAnsi="Cambria Math"/>
                  <w:sz w:val="22"/>
                </w:rPr>
                <m:t>K</m:t>
              </m:r>
              <m:bar>
                <m:barPr>
                  <m:pos m:val="top"/>
                </m:barPr>
                <m:e>
                  <m:r>
                    <w:rPr>
                      <w:rFonts w:ascii="Cambria Math" w:hAnsi="Cambria Math"/>
                      <w:sz w:val="22"/>
                    </w:rPr>
                    <m:t>e</m:t>
                  </m:r>
                </m:e>
              </m:bar>
            </m:num>
            <m:den>
              <m:sSub>
                <m:e>
                  <m:r>
                    <w:rPr>
                      <w:rFonts w:ascii="Cambria Math" w:hAnsi="Cambria Math"/>
                      <w:sz w:val="22"/>
                    </w:rPr>
                    <m:t>β</m:t>
                  </m:r>
                </m:e>
                <m:sub>
                  <m:r>
                    <w:rPr>
                      <w:rFonts w:ascii="Cambria Math" w:hAnsi="Cambria Math"/>
                      <w:sz w:val="22"/>
                    </w:rPr>
                    <m:t>p</m:t>
                  </m:r>
                </m:sub>
              </m:sSub>
            </m:den>
          </m:f>
          <m:r>
            <w:rPr>
              <w:rFonts w:ascii="Cambria Math" w:hAnsi="Cambria Math"/>
              <w:sz w:val="22"/>
            </w:rPr>
            <m:t>;    </m:t>
          </m:r>
          <m:acc>
            <m:accPr>
              <m:chr m:val="̂"/>
            </m:accPr>
            <m:e>
              <m:r>
                <w:rPr>
                  <w:rFonts w:ascii="Cambria Math" w:hAnsi="Cambria Math"/>
                  <w:sz w:val="22"/>
                </w:rPr>
                <m:t>α</m:t>
              </m:r>
            </m:e>
          </m:acc>
          <m:r>
            <w:rPr>
              <w:rFonts w:ascii="Cambria Math" w:hAnsi="Cambria Math"/>
              <w:sz w:val="22"/>
            </w:rPr>
            <m:t> = </m:t>
          </m:r>
          <m:bar>
            <m:barPr>
              <m:pos m:val="top"/>
            </m:barPr>
            <m:e>
              <m:sSub>
                <m:e>
                  <m:r>
                    <w:rPr>
                      <w:rFonts w:ascii="Cambria Math" w:hAnsi="Cambria Math"/>
                      <w:sz w:val="22"/>
                    </w:rPr>
                    <m:t>r</m:t>
                  </m:r>
                </m:e>
                <m:sub>
                  <m:r>
                    <w:rPr>
                      <w:rFonts w:ascii="Cambria Math" w:hAnsi="Cambria Math"/>
                      <w:sz w:val="22"/>
                    </w:rPr>
                    <m:t>p</m:t>
                  </m:r>
                </m:sub>
              </m:sSub>
              <m:r>
                <w:rPr>
                  <w:rFonts w:ascii="Cambria Math" w:hAnsi="Cambria Math"/>
                  <w:sz w:val="22"/>
                </w:rPr>
                <m:t> − </m:t>
              </m:r>
              <m:sSub>
                <m:e>
                  <m:r>
                    <w:rPr>
                      <w:rFonts w:ascii="Cambria Math" w:hAnsi="Cambria Math"/>
                      <w:sz w:val="22"/>
                    </w:rPr>
                    <m:t>r</m:t>
                  </m:r>
                </m:e>
                <m:sub>
                  <m:r>
                    <w:rPr>
                      <w:rFonts w:ascii="Cambria Math" w:hAnsi="Cambria Math"/>
                      <w:sz w:val="22"/>
                    </w:rPr>
                    <m:t>f</m:t>
                  </m:r>
                </m:sub>
              </m:sSub>
            </m:e>
          </m:bar>
          <m:r>
            <w:rPr>
              <w:rFonts w:ascii="Cambria Math" w:hAnsi="Cambria Math"/>
              <w:sz w:val="22"/>
            </w:rPr>
            <m:t> − </m:t>
          </m:r>
          <m:acc>
            <m:accPr>
              <m:chr m:val="̂"/>
            </m:accPr>
            <m:e>
              <m:r>
                <w:rPr>
                  <w:rFonts w:ascii="Cambria Math" w:hAnsi="Cambria Math"/>
                  <w:sz w:val="22"/>
                </w:rPr>
                <m:t>β</m:t>
              </m:r>
            </m:e>
          </m:acc>
          <m:bar>
            <m:barPr>
              <m:pos m:val="top"/>
            </m:barPr>
            <m:e>
              <m:sSub>
                <m:e>
                  <m:r>
                    <w:rPr>
                      <w:rFonts w:ascii="Cambria Math" w:hAnsi="Cambria Math"/>
                      <w:sz w:val="22"/>
                    </w:rPr>
                    <m:t>r</m:t>
                  </m:r>
                </m:e>
                <m:sub>
                  <m:r>
                    <w:rPr>
                      <w:rFonts w:ascii="Cambria Math" w:hAnsi="Cambria Math"/>
                      <w:sz w:val="22"/>
                    </w:rPr>
                    <m:t>m</m:t>
                  </m:r>
                </m:sub>
              </m:sSub>
              <m:r>
                <w:rPr>
                  <w:rFonts w:ascii="Cambria Math" w:hAnsi="Cambria Math"/>
                  <w:sz w:val="22"/>
                </w:rPr>
                <m:t> − </m:t>
              </m:r>
              <m:sSub>
                <m:e>
                  <m:r>
                    <w:rPr>
                      <w:rFonts w:ascii="Cambria Math" w:hAnsi="Cambria Math"/>
                      <w:sz w:val="22"/>
                    </w:rPr>
                    <m:t>r</m:t>
                  </m:r>
                </m:e>
                <m:sub>
                  <m:r>
                    <w:rPr>
                      <w:rFonts w:ascii="Cambria Math" w:hAnsi="Cambria Math"/>
                      <w:sz w:val="22"/>
                    </w:rPr>
                    <m:t>f</m:t>
                  </m:r>
                </m:sub>
              </m:sSub>
            </m:e>
          </m:bar>
        </m:oMath>
      </m:oMathPara>
    </w:p>
    <w:p>
      <w:r>
        <w:rPr>
          <w:color w:val="000000"/>
        </w:rPr>
        <w:t>Treynor 适用于已充分分散、市场 Beta 有经济含义的组合；Beta 接近零或为负时不宜机械排名。Jensen Alpha 的稳定性和显著性应通过收益回归估计，不能只凭单期残差判断能力。</w:t>
      </w:r>
    </w:p>
    <w:p>
      <w:pPr>
        <w:keepLines/>
        <w:spacing w:before="60" w:after="140"/>
        <w:jc w:val="center"/>
      </w:pPr>
      <m:oMathPara>
        <m:oMath>
          <m:sSup>
            <m:e>
              <m:r>
                <w:rPr>
                  <w:rFonts w:ascii="Cambria Math" w:hAnsi="Cambria Math"/>
                  <w:sz w:val="22"/>
                </w:rPr>
                <m:t>M</m:t>
              </m:r>
            </m:e>
            <m:sup>
              <m:r>
                <w:rPr>
                  <w:rFonts w:ascii="Cambria Math" w:hAnsi="Cambria Math"/>
                  <w:sz w:val="22"/>
                </w:rPr>
                <m:t>2</m:t>
              </m:r>
            </m:sup>
          </m:sSup>
          <m:r>
            <w:rPr>
              <w:rFonts w:ascii="Cambria Math" w:hAnsi="Cambria Math"/>
              <w:sz w:val="22"/>
            </w:rPr>
            <m:t> = </m:t>
          </m:r>
          <m:sSub>
            <m:e>
              <m:r>
                <w:rPr>
                  <w:rFonts w:ascii="Cambria Math" w:hAnsi="Cambria Math"/>
                  <w:sz w:val="22"/>
                </w:rPr>
                <m:t>μ</m:t>
              </m:r>
            </m:e>
            <m:sub>
              <m:r>
                <w:rPr>
                  <w:rFonts w:ascii="Cambria Math" w:hAnsi="Cambria Math"/>
                  <w:sz w:val="22"/>
                </w:rPr>
                <m:t>f</m:t>
              </m:r>
            </m:sub>
          </m:sSub>
          <m:r>
            <w:rPr>
              <w:rFonts w:ascii="Cambria Math" w:hAnsi="Cambria Math"/>
              <w:sz w:val="22"/>
            </w:rPr>
            <m:t> + </m:t>
          </m:r>
          <m:f>
            <m:num>
              <m:sSub>
                <m:e>
                  <m:r>
                    <w:rPr>
                      <w:rFonts w:ascii="Cambria Math" w:hAnsi="Cambria Math"/>
                      <w:sz w:val="22"/>
                    </w:rPr>
                    <m:t>σ</m:t>
                  </m:r>
                </m:e>
                <m:sub>
                  <m:r>
                    <w:rPr>
                      <w:rFonts w:ascii="Cambria Math" w:hAnsi="Cambria Math"/>
                      <w:sz w:val="22"/>
                    </w:rPr>
                    <m:t>b</m:t>
                  </m:r>
                </m:sub>
              </m:sSub>
            </m:num>
            <m:den>
              <m:sSub>
                <m:e>
                  <m:r>
                    <w:rPr>
                      <w:rFonts w:ascii="Cambria Math" w:hAnsi="Cambria Math"/>
                      <w:sz w:val="22"/>
                    </w:rPr>
                    <m:t>σ</m:t>
                  </m:r>
                </m:e>
                <m:sub>
                  <m:r>
                    <w:rPr>
                      <w:rFonts w:ascii="Cambria Math" w:hAnsi="Cambria Math"/>
                      <w:sz w:val="22"/>
                    </w:rPr>
                    <m:t>p</m:t>
                  </m:r>
                </m:sub>
              </m:sSub>
            </m:den>
          </m:f>
          <m:r>
            <w:rPr>
              <w:rFonts w:ascii="Cambria Math" w:hAnsi="Cambria Math"/>
              <w:sz w:val="22"/>
            </w:rPr>
            <m:t>(</m:t>
          </m:r>
          <m:sSub>
            <m:e>
              <m:r>
                <w:rPr>
                  <w:rFonts w:ascii="Cambria Math" w:hAnsi="Cambria Math"/>
                  <w:sz w:val="22"/>
                </w:rPr>
                <m:t>μ</m:t>
              </m:r>
            </m:e>
            <m:sub>
              <m:r>
                <w:rPr>
                  <w:rFonts w:ascii="Cambria Math" w:hAnsi="Cambria Math"/>
                  <w:sz w:val="22"/>
                </w:rPr>
                <m:t>p</m:t>
              </m:r>
            </m:sub>
          </m:sSub>
          <m:r>
            <w:rPr>
              <w:rFonts w:ascii="Cambria Math" w:hAnsi="Cambria Math"/>
              <w:sz w:val="22"/>
            </w:rPr>
            <m:t> − </m:t>
          </m:r>
          <m:sSub>
            <m:e>
              <m:r>
                <w:rPr>
                  <w:rFonts w:ascii="Cambria Math" w:hAnsi="Cambria Math"/>
                  <w:sz w:val="22"/>
                </w:rPr>
                <m:t>μ</m:t>
              </m:r>
            </m:e>
            <m:sub>
              <m:r>
                <w:rPr>
                  <w:rFonts w:ascii="Cambria Math" w:hAnsi="Cambria Math"/>
                  <w:sz w:val="22"/>
                </w:rPr>
                <m:t>f</m:t>
              </m:r>
            </m:sub>
          </m:sSub>
          <m:r>
            <w:rPr>
              <w:rFonts w:ascii="Cambria Math" w:hAnsi="Cambria Math"/>
              <w:sz w:val="22"/>
            </w:rPr>
            <m:t>);    </m:t>
          </m:r>
          <m:sSup>
            <m:e>
              <m:r>
                <w:rPr>
                  <w:rFonts w:ascii="Cambria Math" w:hAnsi="Cambria Math"/>
                  <w:sz w:val="22"/>
                </w:rPr>
                <m:t>M</m:t>
              </m:r>
            </m:e>
            <m:sup>
              <m:r>
                <w:rPr>
                  <w:rFonts w:ascii="Cambria Math" w:hAnsi="Cambria Math"/>
                  <w:sz w:val="22"/>
                </w:rPr>
                <m:t>2</m:t>
              </m:r>
            </m:sup>
          </m:sSup>
          <m:r>
            <w:rPr>
              <w:rFonts w:ascii="Cambria Math" w:hAnsi="Cambria Math"/>
              <w:sz w:val="22"/>
            </w:rPr>
            <m:t>差额 = </m:t>
          </m:r>
          <m:sSup>
            <m:e>
              <m:r>
                <w:rPr>
                  <w:rFonts w:ascii="Cambria Math" w:hAnsi="Cambria Math"/>
                  <w:sz w:val="22"/>
                </w:rPr>
                <m:t>M</m:t>
              </m:r>
            </m:e>
            <m:sup>
              <m:r>
                <w:rPr>
                  <w:rFonts w:ascii="Cambria Math" w:hAnsi="Cambria Math"/>
                  <w:sz w:val="22"/>
                </w:rPr>
                <m:t>2</m:t>
              </m:r>
            </m:sup>
          </m:sSup>
          <m:r>
            <w:rPr>
              <w:rFonts w:ascii="Cambria Math" w:hAnsi="Cambria Math"/>
              <w:sz w:val="22"/>
            </w:rPr>
            <m:t> − </m:t>
          </m:r>
          <m:sSub>
            <m:e>
              <m:r>
                <w:rPr>
                  <w:rFonts w:ascii="Cambria Math" w:hAnsi="Cambria Math"/>
                  <w:sz w:val="22"/>
                </w:rPr>
                <m:t>μ</m:t>
              </m:r>
            </m:e>
            <m:sub>
              <m:r>
                <w:rPr>
                  <w:rFonts w:ascii="Cambria Math" w:hAnsi="Cambria Math"/>
                  <w:sz w:val="22"/>
                </w:rPr>
                <m:t>b</m:t>
              </m:r>
            </m:sub>
          </m:sSub>
        </m:oMath>
      </m:oMathPara>
    </w:p>
    <w:p>
      <w:r>
        <w:rPr>
          <w:color w:val="000000"/>
        </w:rPr>
        <w:t>M² 将组合调整到基准波动率后比较收益。这里 μ 为年化算术均值，σ 为年化波动率；无风险收益视为稳定。M² 收益与 M² 相对基准差额应分开报告，不能都写成同一个“收益率”。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701"/>
        <w:gridCol w:w="2948"/>
        <w:gridCol w:w="4819"/>
      </w:tblGrid>
      <w:tr>
        <w:trPr>
          <w:cantSplit/>
          <w:tblHeader/>
        </w:trPr>
        <w:tc>
          <w:tcPr>
            <w:tcW w:type="dxa" w:w="1701"/>
            <w:vAlign w:val="center"/>
            <w:shd w:fill="DFE8F0"/>
          </w:tcPr>
          <w:p>
            <w:pPr>
              <w:keepNext/>
              <w:spacing w:after="0" w:line="269" w:lineRule="auto"/>
              <w:jc w:val="center"/>
            </w:pPr>
            <w:r>
              <w:rPr>
                <w:b/>
                <w:sz w:val="19"/>
              </w:rPr>
              <w:t>指标</w:t>
            </w:r>
          </w:p>
        </w:tc>
        <w:tc>
          <w:tcPr>
            <w:tcW w:type="dxa" w:w="2948"/>
            <w:vAlign w:val="center"/>
            <w:shd w:fill="DFE8F0"/>
          </w:tcPr>
          <w:p>
            <w:pPr>
              <w:keepNext/>
              <w:spacing w:after="0" w:line="269" w:lineRule="auto"/>
              <w:jc w:val="center"/>
            </w:pPr>
            <w:r>
              <w:rPr>
                <w:b/>
                <w:sz w:val="19"/>
              </w:rPr>
              <w:t>主要用途</w:t>
            </w:r>
          </w:p>
        </w:tc>
        <w:tc>
          <w:tcPr>
            <w:tcW w:type="dxa" w:w="4819"/>
            <w:vAlign w:val="center"/>
            <w:shd w:fill="DFE8F0"/>
          </w:tcPr>
          <w:p>
            <w:pPr>
              <w:keepNext/>
              <w:spacing w:after="0" w:line="269" w:lineRule="auto"/>
              <w:jc w:val="center"/>
            </w:pPr>
            <w:r>
              <w:rPr>
                <w:b/>
                <w:sz w:val="19"/>
              </w:rPr>
              <w:t>需要同时披露</w:t>
            </w:r>
          </w:p>
        </w:tc>
      </w:tr>
      <w:tr>
        <w:trPr>
          <w:cantSplit/>
        </w:trPr>
        <w:tc>
          <w:tcPr>
            <w:tcW w:type="dxa" w:w="1701"/>
            <w:vAlign w:val="center"/>
            <w:shd w:fill="FFFFFF"/>
          </w:tcPr>
          <w:p>
            <w:pPr>
              <w:keepNext w:val="0"/>
              <w:spacing w:after="0" w:line="269" w:lineRule="auto"/>
              <w:jc w:val="center"/>
            </w:pPr>
            <w:r>
              <w:rPr>
                <w:b w:val="0"/>
                <w:sz w:val="19"/>
              </w:rPr>
              <w:t>Sharpe</w:t>
            </w:r>
          </w:p>
        </w:tc>
        <w:tc>
          <w:tcPr>
            <w:tcW w:type="dxa" w:w="2948"/>
            <w:vAlign w:val="center"/>
            <w:shd w:fill="FFFFFF"/>
          </w:tcPr>
          <w:p>
            <w:pPr>
              <w:keepNext w:val="0"/>
              <w:spacing w:after="0" w:line="269" w:lineRule="auto"/>
              <w:jc w:val="center"/>
            </w:pPr>
            <w:r>
              <w:rPr>
                <w:b w:val="0"/>
                <w:sz w:val="19"/>
              </w:rPr>
              <w:t>绝对收益效率</w:t>
            </w:r>
          </w:p>
        </w:tc>
        <w:tc>
          <w:tcPr>
            <w:tcW w:type="dxa" w:w="4819"/>
            <w:vAlign w:val="center"/>
            <w:shd w:fill="FFFFFF"/>
          </w:tcPr>
          <w:p>
            <w:pPr>
              <w:keepNext w:val="0"/>
              <w:spacing w:after="0" w:line="269" w:lineRule="auto"/>
            </w:pPr>
            <w:r>
              <w:rPr>
                <w:b w:val="0"/>
                <w:sz w:val="19"/>
              </w:rPr>
              <w:t>无风险口径、样本期、收益频率</w:t>
            </w:r>
          </w:p>
        </w:tc>
      </w:tr>
      <w:tr>
        <w:trPr>
          <w:cantSplit/>
        </w:trPr>
        <w:tc>
          <w:tcPr>
            <w:tcW w:type="dxa" w:w="1701"/>
            <w:vAlign w:val="center"/>
            <w:shd w:fill="FFFFFF"/>
          </w:tcPr>
          <w:p>
            <w:pPr>
              <w:keepNext w:val="0"/>
              <w:spacing w:after="0" w:line="269" w:lineRule="auto"/>
              <w:jc w:val="center"/>
            </w:pPr>
            <w:r>
              <w:rPr>
                <w:b w:val="0"/>
                <w:sz w:val="19"/>
              </w:rPr>
              <w:t>IR 与 TE</w:t>
            </w:r>
          </w:p>
        </w:tc>
        <w:tc>
          <w:tcPr>
            <w:tcW w:type="dxa" w:w="2948"/>
            <w:vAlign w:val="center"/>
            <w:shd w:fill="FFFFFF"/>
          </w:tcPr>
          <w:p>
            <w:pPr>
              <w:keepNext w:val="0"/>
              <w:spacing w:after="0" w:line="269" w:lineRule="auto"/>
              <w:jc w:val="center"/>
            </w:pPr>
            <w:r>
              <w:rPr>
                <w:b w:val="0"/>
                <w:sz w:val="19"/>
              </w:rPr>
              <w:t>主动管理效率及风险预算</w:t>
            </w:r>
          </w:p>
        </w:tc>
        <w:tc>
          <w:tcPr>
            <w:tcW w:type="dxa" w:w="4819"/>
            <w:vAlign w:val="center"/>
            <w:shd w:fill="FFFFFF"/>
          </w:tcPr>
          <w:p>
            <w:pPr>
              <w:keepNext w:val="0"/>
              <w:spacing w:after="0" w:line="269" w:lineRule="auto"/>
              <w:jc w:val="center"/>
            </w:pPr>
            <w:r>
              <w:rPr>
                <w:b w:val="0"/>
                <w:sz w:val="19"/>
              </w:rPr>
              <w:t>基准、目标 TE、费用口径</w:t>
            </w:r>
          </w:p>
        </w:tc>
      </w:tr>
      <w:tr>
        <w:trPr>
          <w:cantSplit/>
        </w:trPr>
        <w:tc>
          <w:tcPr>
            <w:tcW w:type="dxa" w:w="1701"/>
            <w:vAlign w:val="center"/>
            <w:shd w:fill="FFFFFF"/>
          </w:tcPr>
          <w:p>
            <w:pPr>
              <w:keepNext w:val="0"/>
              <w:spacing w:after="0" w:line="269" w:lineRule="auto"/>
              <w:jc w:val="center"/>
            </w:pPr>
            <w:r>
              <w:rPr>
                <w:b w:val="0"/>
                <w:sz w:val="19"/>
              </w:rPr>
              <w:t>MDD</w:t>
            </w:r>
          </w:p>
        </w:tc>
        <w:tc>
          <w:tcPr>
            <w:tcW w:type="dxa" w:w="2948"/>
            <w:vAlign w:val="center"/>
            <w:shd w:fill="FFFFFF"/>
          </w:tcPr>
          <w:p>
            <w:pPr>
              <w:keepNext w:val="0"/>
              <w:spacing w:after="0" w:line="269" w:lineRule="auto"/>
              <w:jc w:val="center"/>
            </w:pPr>
            <w:r>
              <w:rPr>
                <w:b w:val="0"/>
                <w:sz w:val="19"/>
              </w:rPr>
              <w:t>历史最严重资金回撤</w:t>
            </w:r>
          </w:p>
        </w:tc>
        <w:tc>
          <w:tcPr>
            <w:tcW w:type="dxa" w:w="4819"/>
            <w:vAlign w:val="center"/>
            <w:shd w:fill="FFFFFF"/>
          </w:tcPr>
          <w:p>
            <w:pPr>
              <w:keepNext w:val="0"/>
              <w:spacing w:after="0" w:line="269" w:lineRule="auto"/>
            </w:pPr>
            <w:r>
              <w:rPr>
                <w:b w:val="0"/>
                <w:sz w:val="19"/>
              </w:rPr>
              <w:t>观察频率、发生时段、修复时间</w:t>
            </w:r>
          </w:p>
        </w:tc>
      </w:tr>
      <w:tr>
        <w:trPr>
          <w:cantSplit/>
        </w:trPr>
        <w:tc>
          <w:tcPr>
            <w:tcW w:type="dxa" w:w="1701"/>
            <w:vAlign w:val="center"/>
            <w:shd w:fill="FFFFFF"/>
          </w:tcPr>
          <w:p>
            <w:pPr>
              <w:keepNext w:val="0"/>
              <w:spacing w:after="0" w:line="269" w:lineRule="auto"/>
            </w:pPr>
            <w:r>
              <w:rPr>
                <w:b w:val="0"/>
                <w:sz w:val="19"/>
              </w:rPr>
              <w:t>Treynor 与 Alpha</w:t>
            </w:r>
          </w:p>
        </w:tc>
        <w:tc>
          <w:tcPr>
            <w:tcW w:type="dxa" w:w="2948"/>
            <w:vAlign w:val="center"/>
            <w:shd w:fill="FFFFFF"/>
          </w:tcPr>
          <w:p>
            <w:pPr>
              <w:keepNext w:val="0"/>
              <w:spacing w:after="0" w:line="269" w:lineRule="auto"/>
              <w:jc w:val="center"/>
            </w:pPr>
            <w:r>
              <w:rPr>
                <w:b w:val="0"/>
                <w:sz w:val="19"/>
              </w:rPr>
              <w:t>市场风险调整</w:t>
            </w:r>
          </w:p>
        </w:tc>
        <w:tc>
          <w:tcPr>
            <w:tcW w:type="dxa" w:w="4819"/>
            <w:vAlign w:val="center"/>
            <w:shd w:fill="FFFFFF"/>
          </w:tcPr>
          <w:p>
            <w:pPr>
              <w:keepNext w:val="0"/>
              <w:spacing w:after="0" w:line="269" w:lineRule="auto"/>
            </w:pPr>
            <w:r>
              <w:rPr>
                <w:b w:val="0"/>
                <w:sz w:val="19"/>
              </w:rPr>
              <w:t>市场代理、Beta 估计与模型设定</w:t>
            </w:r>
          </w:p>
        </w:tc>
      </w:tr>
    </w:tbl>
    <w:p>
      <w:pPr>
        <w:spacing w:after="0"/>
      </w:pPr>
    </w:p>
    <w:p>
      <w:pPr>
        <w:spacing w:line="276" w:lineRule="auto" w:after="100"/>
      </w:pPr>
      <w:r>
        <w:rPr>
          <w:color w:val="000000"/>
          <w:sz w:val="18"/>
        </w:rPr>
        <w:t>平方根年化依赖收益相关结构足够稳定等近似条件。存在自相关、估值平滑或显著非线性敞口时，应补充稳健估计和情景分析。比率分母为零时报告不适用。</w:t>
      </w:r>
    </w:p>
    <w:p>
      <w:pPr>
        <w:pStyle w:val="Heading1"/>
        <w:pageBreakBefore/>
      </w:pPr>
      <w:r>
        <w:rPr>
          <w:color w:val="000000"/>
        </w:rPr>
        <w:t>四 Alpha 来源与能力判断</w:t>
      </w:r>
    </w:p>
    <w:p>
      <w:r>
        <w:rPr>
          <w:color w:val="000000"/>
        </w:rPr>
        <w:t>Alpha 是相对于特定模型的未解释收益，不是管理能力的直接标签。评价需要同时回答：是否控制了主要风险暴露、结果是否稳定、统计证据是否充分，以及扣费后是否仍有经济意义。</w:t>
      </w:r>
    </w:p>
    <w:p>
      <w:pPr>
        <w:pStyle w:val="Heading2"/>
      </w:pPr>
      <w:r>
        <w:rPr>
          <w:color w:val="000000"/>
        </w:rPr>
        <w:t>1 用 IC 和有效广度理解优势来源</w:t>
      </w:r>
    </w:p>
    <w:p>
      <w:pPr>
        <w:keepLines/>
        <w:spacing w:before="60" w:after="140"/>
        <w:jc w:val="center"/>
      </w:pPr>
      <m:oMathPara>
        <m:oMath>
          <m:r>
            <w:rPr>
              <w:rFonts w:ascii="Cambria Math" w:hAnsi="Cambria Math"/>
              <w:sz w:val="22"/>
            </w:rPr>
            <m:t>IR ≈ IC × </m:t>
          </m:r>
          <m:rad>
            <m:radPr>
              <m:degHide m:val="1"/>
            </m:radPr>
            <m:deg/>
            <m:e>
              <m:r>
                <w:rPr>
                  <w:rFonts w:ascii="Cambria Math" w:hAnsi="Cambria Math"/>
                  <w:sz w:val="22"/>
                </w:rPr>
                <m:t>BR</m:t>
              </m:r>
            </m:e>
          </m:rad>
          <m:r>
            <w:rPr>
              <w:rFonts w:ascii="Cambria Math" w:hAnsi="Cambria Math"/>
              <w:sz w:val="22"/>
            </w:rPr>
            <m:t>;    IR ≈ TC × IC × </m:t>
          </m:r>
          <m:rad>
            <m:radPr>
              <m:degHide m:val="1"/>
            </m:radPr>
            <m:deg/>
            <m:e>
              <m:r>
                <w:rPr>
                  <w:rFonts w:ascii="Cambria Math" w:hAnsi="Cambria Math"/>
                  <w:sz w:val="22"/>
                </w:rPr>
                <m:t>BR</m:t>
              </m:r>
            </m:e>
          </m:rad>
        </m:oMath>
      </m:oMathPara>
    </w:p>
    <w:p>
      <w:r>
        <w:rPr>
          <w:color w:val="000000"/>
        </w:rPr>
        <w:t>主动管理基本定律把预期主动管理效率与预测质量和有效独立决策广度联系起来。IC 表示预测与随后实现收益的相关性；BR 是同一评价期间内有效独立投资决策的数量；TC 表示在约束下将预测转化为组合头寸的效率。该关系依赖模型假设，适合解释来源，不能代替实测 IR。[3]</w:t>
      </w:r>
    </w:p>
    <w:p>
      <w:r>
        <w:rPr>
          <w:color w:val="000000"/>
        </w:rPr>
        <w:t>例如 IC 为 0.05、年度有效广度为 100 时，理想化预期 IR 约为 0.50；若 TC 为 0.70，则约为 0.35。高换手并不自动意味着高 BR：重复交易高度相关的股票或因子，可能增加成本却没有增加有效信息。</w:t>
      </w:r>
    </w:p>
    <w:p>
      <w:pPr>
        <w:pStyle w:val="Heading2"/>
      </w:pPr>
      <w:r>
        <w:rPr>
          <w:color w:val="000000"/>
        </w:rPr>
        <w:t>2 通过回归估计 Alpha 与统计不确定性</w:t>
      </w:r>
    </w:p>
    <w:p>
      <w:pPr>
        <w:keepLines/>
        <w:spacing w:before="60" w:after="140"/>
        <w:jc w:val="center"/>
      </w:pPr>
      <m:oMathPara>
        <m:oMath>
          <m:sSub>
            <m:e>
              <m:r>
                <w:rPr>
                  <w:rFonts w:ascii="Cambria Math" w:hAnsi="Cambria Math"/>
                  <w:sz w:val="22"/>
                </w:rPr>
                <m:t>r</m:t>
              </m:r>
            </m:e>
            <m:sub>
              <m:r>
                <w:rPr>
                  <w:rFonts w:ascii="Cambria Math" w:hAnsi="Cambria Math"/>
                  <w:sz w:val="22"/>
                </w:rPr>
                <m:t>p,t</m:t>
              </m:r>
            </m:sub>
          </m:sSub>
          <m:r>
            <w:rPr>
              <w:rFonts w:ascii="Cambria Math" w:hAnsi="Cambria Math"/>
              <w:sz w:val="22"/>
            </w:rPr>
            <m:t> − </m:t>
          </m:r>
          <m:sSub>
            <m:e>
              <m:r>
                <w:rPr>
                  <w:rFonts w:ascii="Cambria Math" w:hAnsi="Cambria Math"/>
                  <w:sz w:val="22"/>
                </w:rPr>
                <m:t>r</m:t>
              </m:r>
            </m:e>
            <m:sub>
              <m:r>
                <w:rPr>
                  <w:rFonts w:ascii="Cambria Math" w:hAnsi="Cambria Math"/>
                  <w:sz w:val="22"/>
                </w:rPr>
                <m:t>f,t</m:t>
              </m:r>
            </m:sub>
          </m:sSub>
          <m:r>
            <w:rPr>
              <w:rFonts w:ascii="Cambria Math" w:hAnsi="Cambria Math"/>
              <w:sz w:val="22"/>
            </w:rPr>
            <m:t> = α + </m:t>
          </m:r>
          <m:nary>
            <m:naryPr>
              <m:chr m:val="∑"/>
              <m:limLoc m:val="subSup"/>
            </m:naryPr>
            <m:sub>
              <m:r>
                <w:rPr>
                  <w:rFonts w:ascii="Cambria Math" w:hAnsi="Cambria Math"/>
                  <w:sz w:val="22"/>
                </w:rPr>
                <m:t>k=1</m:t>
              </m:r>
            </m:sub>
            <m:sup>
              <m:r>
                <w:rPr>
                  <w:rFonts w:ascii="Cambria Math" w:hAnsi="Cambria Math"/>
                  <w:sz w:val="22"/>
                </w:rPr>
                <m:t>q</m:t>
              </m:r>
            </m:sup>
            <m:e>
              <m:sSub>
                <m:e>
                  <m:r>
                    <w:rPr>
                      <w:rFonts w:ascii="Cambria Math" w:hAnsi="Cambria Math"/>
                      <w:sz w:val="22"/>
                    </w:rPr>
                    <m:t>β</m:t>
                  </m:r>
                </m:e>
                <m:sub>
                  <m:r>
                    <w:rPr>
                      <w:rFonts w:ascii="Cambria Math" w:hAnsi="Cambria Math"/>
                      <w:sz w:val="22"/>
                    </w:rPr>
                    <m:t>k</m:t>
                  </m:r>
                </m:sub>
              </m:sSub>
              <m:sSub>
                <m:e>
                  <m:r>
                    <w:rPr>
                      <w:rFonts w:ascii="Cambria Math" w:hAnsi="Cambria Math"/>
                      <w:sz w:val="22"/>
                    </w:rPr>
                    <m:t>F</m:t>
                  </m:r>
                </m:e>
                <m:sub>
                  <m:r>
                    <w:rPr>
                      <w:rFonts w:ascii="Cambria Math" w:hAnsi="Cambria Math"/>
                      <w:sz w:val="22"/>
                    </w:rPr>
                    <m:t>k,t</m:t>
                  </m:r>
                </m:sub>
              </m:sSub>
            </m:e>
          </m:nary>
          <m:r>
            <w:rPr>
              <w:rFonts w:ascii="Cambria Math" w:hAnsi="Cambria Math"/>
              <w:sz w:val="22"/>
            </w:rPr>
            <m:t> + </m:t>
          </m:r>
          <m:sSub>
            <m:e>
              <m:r>
                <w:rPr>
                  <w:rFonts w:ascii="Cambria Math" w:hAnsi="Cambria Math"/>
                  <w:sz w:val="22"/>
                </w:rPr>
                <m:t>ε</m:t>
              </m:r>
            </m:e>
            <m:sub>
              <m:r>
                <w:rPr>
                  <w:rFonts w:ascii="Cambria Math" w:hAnsi="Cambria Math"/>
                  <w:sz w:val="22"/>
                </w:rPr>
                <m:t>t</m:t>
              </m:r>
            </m:sub>
          </m:sSub>
        </m:oMath>
      </m:oMathPara>
    </w:p>
    <w:p>
      <w:pPr>
        <w:keepLines/>
        <w:spacing w:before="60" w:after="140"/>
        <w:jc w:val="center"/>
      </w:pPr>
      <m:oMathPara>
        <m:oMath>
          <m:sSub>
            <m:e>
              <m:r>
                <w:rPr>
                  <w:rFonts w:ascii="Cambria Math" w:hAnsi="Cambria Math"/>
                  <w:sz w:val="22"/>
                </w:rPr>
                <m:t>t</m:t>
              </m:r>
            </m:e>
            <m:sub>
              <m:r>
                <w:rPr>
                  <w:rFonts w:ascii="Cambria Math" w:hAnsi="Cambria Math"/>
                  <w:sz w:val="22"/>
                </w:rPr>
                <m:t>α</m:t>
              </m:r>
            </m:sub>
          </m:sSub>
          <m:r>
            <w:rPr>
              <w:rFonts w:ascii="Cambria Math" w:hAnsi="Cambria Math"/>
              <w:sz w:val="22"/>
            </w:rPr>
            <m:t> = </m:t>
          </m:r>
          <m:f>
            <m:num>
              <m:acc>
                <m:accPr>
                  <m:chr m:val="̂"/>
                </m:accPr>
                <m:e>
                  <m:r>
                    <w:rPr>
                      <w:rFonts w:ascii="Cambria Math" w:hAnsi="Cambria Math"/>
                      <w:sz w:val="22"/>
                    </w:rPr>
                    <m:t>α</m:t>
                  </m:r>
                </m:e>
              </m:acc>
            </m:num>
            <m:den>
              <m:r>
                <w:rPr>
                  <w:rFonts w:ascii="Cambria Math" w:hAnsi="Cambria Math"/>
                  <w:sz w:val="22"/>
                </w:rPr>
                <m:t>SE(</m:t>
              </m:r>
              <m:acc>
                <m:accPr>
                  <m:chr m:val="̂"/>
                </m:accPr>
                <m:e>
                  <m:r>
                    <w:rPr>
                      <w:rFonts w:ascii="Cambria Math" w:hAnsi="Cambria Math"/>
                      <w:sz w:val="22"/>
                    </w:rPr>
                    <m:t>α</m:t>
                  </m:r>
                </m:e>
              </m:acc>
              <m:r>
                <w:rPr>
                  <w:rFonts w:ascii="Cambria Math" w:hAnsi="Cambria Math"/>
                  <w:sz w:val="22"/>
                </w:rPr>
                <m:t>)</m:t>
              </m:r>
            </m:den>
          </m:f>
        </m:oMath>
      </m:oMathPara>
    </w:p>
    <w:p>
      <w:r>
        <w:rPr>
          <w:color w:val="000000"/>
        </w:rPr>
        <w:t>先选与策略匹配的风险因子，估计截距和系数，再报告 Alpha、标准误、t 值、置信区间及样本长度。收益存在异方差或自相关时，可采用 Newey–West 等 HAC 稳健标准误，并说明滞后阶数。</w:t>
      </w:r>
    </w:p>
    <w:p>
      <w:r>
        <w:rPr>
          <w:color w:val="000000"/>
        </w:rPr>
        <w:t>大样本下，双侧 5% 检验常以 |t| 约 1.96 为参考，但实际阈值应结合自由度、检验假设和多重比较调整确定。正且显著的 Alpha 支持模型下存在正截距，不足以排除模型遗漏、样本偏差或运气。负的显著 Alpha 则提示可能存在持续落后。</w:t>
      </w:r>
    </w:p>
    <w:p>
      <w:pPr>
        <w:pStyle w:val="Heading2"/>
      </w:pPr>
      <w:r>
        <w:rPr>
          <w:color w:val="000000"/>
        </w:rPr>
        <w:t>3 按证据强度完成交叉验证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474"/>
        <w:gridCol w:w="3515"/>
        <w:gridCol w:w="4479"/>
      </w:tblGrid>
      <w:tr>
        <w:trPr>
          <w:cantSplit/>
          <w:tblHeader/>
        </w:trPr>
        <w:tc>
          <w:tcPr>
            <w:tcW w:type="dxa" w:w="1474"/>
            <w:vAlign w:val="center"/>
            <w:shd w:fill="DFE8F0"/>
          </w:tcPr>
          <w:p>
            <w:pPr>
              <w:keepNext/>
              <w:spacing w:after="0" w:line="269" w:lineRule="auto"/>
              <w:jc w:val="center"/>
            </w:pPr>
            <w:r>
              <w:rPr>
                <w:b/>
                <w:sz w:val="19"/>
              </w:rPr>
              <w:t>检验</w:t>
            </w:r>
          </w:p>
        </w:tc>
        <w:tc>
          <w:tcPr>
            <w:tcW w:type="dxa" w:w="3515"/>
            <w:vAlign w:val="center"/>
            <w:shd w:fill="DFE8F0"/>
          </w:tcPr>
          <w:p>
            <w:pPr>
              <w:keepNext/>
              <w:spacing w:after="0" w:line="269" w:lineRule="auto"/>
              <w:jc w:val="center"/>
            </w:pPr>
            <w:r>
              <w:rPr>
                <w:b/>
                <w:sz w:val="19"/>
              </w:rPr>
              <w:t>操作方法</w:t>
            </w:r>
          </w:p>
        </w:tc>
        <w:tc>
          <w:tcPr>
            <w:tcW w:type="dxa" w:w="4479"/>
            <w:vAlign w:val="center"/>
            <w:shd w:fill="DFE8F0"/>
          </w:tcPr>
          <w:p>
            <w:pPr>
              <w:keepNext/>
              <w:spacing w:after="0" w:line="269" w:lineRule="auto"/>
              <w:jc w:val="center"/>
            </w:pPr>
            <w:r>
              <w:rPr>
                <w:b/>
                <w:sz w:val="19"/>
              </w:rPr>
              <w:t>判断重点</w:t>
            </w:r>
          </w:p>
        </w:tc>
      </w:tr>
      <w:tr>
        <w:trPr>
          <w:cantSplit/>
        </w:trPr>
        <w:tc>
          <w:tcPr>
            <w:tcW w:type="dxa" w:w="1474"/>
            <w:vAlign w:val="center"/>
            <w:shd w:fill="FFFFFF"/>
          </w:tcPr>
          <w:p>
            <w:pPr>
              <w:keepNext w:val="0"/>
              <w:spacing w:after="0" w:line="269" w:lineRule="auto"/>
              <w:jc w:val="center"/>
            </w:pPr>
            <w:r>
              <w:rPr>
                <w:b w:val="0"/>
                <w:sz w:val="19"/>
              </w:rPr>
              <w:t>稳定性</w:t>
            </w:r>
          </w:p>
        </w:tc>
        <w:tc>
          <w:tcPr>
            <w:tcW w:type="dxa" w:w="3515"/>
            <w:vAlign w:val="center"/>
            <w:shd w:fill="FFFFFF"/>
          </w:tcPr>
          <w:p>
            <w:pPr>
              <w:keepNext w:val="0"/>
              <w:spacing w:after="0" w:line="269" w:lineRule="auto"/>
            </w:pPr>
            <w:r>
              <w:rPr>
                <w:b w:val="0"/>
                <w:sz w:val="19"/>
              </w:rPr>
              <w:t>滚动估计 Alpha、Beta、IR</w:t>
            </w:r>
          </w:p>
        </w:tc>
        <w:tc>
          <w:tcPr>
            <w:tcW w:type="dxa" w:w="4479"/>
            <w:vAlign w:val="center"/>
            <w:shd w:fill="FFFFFF"/>
          </w:tcPr>
          <w:p>
            <w:pPr>
              <w:keepNext w:val="0"/>
              <w:spacing w:after="0" w:line="269" w:lineRule="auto"/>
            </w:pPr>
            <w:r>
              <w:rPr>
                <w:b w:val="0"/>
                <w:sz w:val="19"/>
              </w:rPr>
              <w:t>优势是否集中于少数月份或特定市场</w:t>
            </w:r>
          </w:p>
        </w:tc>
      </w:tr>
      <w:tr>
        <w:trPr>
          <w:cantSplit/>
        </w:trPr>
        <w:tc>
          <w:tcPr>
            <w:tcW w:type="dxa" w:w="1474"/>
            <w:vAlign w:val="center"/>
            <w:shd w:fill="FFFFFF"/>
          </w:tcPr>
          <w:p>
            <w:pPr>
              <w:keepNext w:val="0"/>
              <w:spacing w:after="0" w:line="269" w:lineRule="auto"/>
              <w:jc w:val="center"/>
            </w:pPr>
            <w:r>
              <w:rPr>
                <w:b w:val="0"/>
                <w:sz w:val="19"/>
              </w:rPr>
              <w:t>稳健性</w:t>
            </w:r>
          </w:p>
        </w:tc>
        <w:tc>
          <w:tcPr>
            <w:tcW w:type="dxa" w:w="3515"/>
            <w:vAlign w:val="center"/>
            <w:shd w:fill="FFFFFF"/>
          </w:tcPr>
          <w:p>
            <w:pPr>
              <w:keepNext w:val="0"/>
              <w:spacing w:after="0" w:line="269" w:lineRule="auto"/>
              <w:jc w:val="center"/>
            </w:pPr>
            <w:r>
              <w:rPr>
                <w:b w:val="0"/>
                <w:sz w:val="19"/>
              </w:rPr>
              <w:t>合理替换基准、窗口及因子</w:t>
            </w:r>
          </w:p>
        </w:tc>
        <w:tc>
          <w:tcPr>
            <w:tcW w:type="dxa" w:w="4479"/>
            <w:vAlign w:val="center"/>
            <w:shd w:fill="FFFFFF"/>
          </w:tcPr>
          <w:p>
            <w:pPr>
              <w:keepNext w:val="0"/>
              <w:spacing w:after="0" w:line="269" w:lineRule="auto"/>
              <w:jc w:val="center"/>
            </w:pPr>
            <w:r>
              <w:rPr>
                <w:b w:val="0"/>
                <w:sz w:val="19"/>
              </w:rPr>
              <w:t>结论是否依赖单一设定</w:t>
            </w:r>
          </w:p>
        </w:tc>
      </w:tr>
      <w:tr>
        <w:trPr>
          <w:cantSplit/>
        </w:trPr>
        <w:tc>
          <w:tcPr>
            <w:tcW w:type="dxa" w:w="1474"/>
            <w:vAlign w:val="center"/>
            <w:shd w:fill="FFFFFF"/>
          </w:tcPr>
          <w:p>
            <w:pPr>
              <w:keepNext w:val="0"/>
              <w:spacing w:after="0" w:line="269" w:lineRule="auto"/>
              <w:jc w:val="center"/>
            </w:pPr>
            <w:r>
              <w:rPr>
                <w:b w:val="0"/>
                <w:sz w:val="19"/>
              </w:rPr>
              <w:t>样本外</w:t>
            </w:r>
          </w:p>
        </w:tc>
        <w:tc>
          <w:tcPr>
            <w:tcW w:type="dxa" w:w="3515"/>
            <w:vAlign w:val="center"/>
            <w:shd w:fill="FFFFFF"/>
          </w:tcPr>
          <w:p>
            <w:pPr>
              <w:keepNext w:val="0"/>
              <w:spacing w:after="0" w:line="269" w:lineRule="auto"/>
              <w:jc w:val="center"/>
            </w:pPr>
            <w:r>
              <w:rPr>
                <w:b w:val="0"/>
                <w:sz w:val="19"/>
              </w:rPr>
              <w:t>按时间顺序留出验证期</w:t>
            </w:r>
          </w:p>
        </w:tc>
        <w:tc>
          <w:tcPr>
            <w:tcW w:type="dxa" w:w="4479"/>
            <w:vAlign w:val="center"/>
            <w:shd w:fill="FFFFFF"/>
          </w:tcPr>
          <w:p>
            <w:pPr>
              <w:keepNext w:val="0"/>
              <w:spacing w:after="0" w:line="269" w:lineRule="auto"/>
              <w:jc w:val="center"/>
            </w:pPr>
            <w:r>
              <w:rPr>
                <w:b w:val="0"/>
                <w:sz w:val="19"/>
              </w:rPr>
              <w:t>策略形成后的实际有效性</w:t>
            </w:r>
          </w:p>
        </w:tc>
      </w:tr>
      <w:tr>
        <w:trPr>
          <w:cantSplit/>
        </w:trPr>
        <w:tc>
          <w:tcPr>
            <w:tcW w:type="dxa" w:w="1474"/>
            <w:vAlign w:val="center"/>
            <w:shd w:fill="FFFFFF"/>
          </w:tcPr>
          <w:p>
            <w:pPr>
              <w:keepNext w:val="0"/>
              <w:spacing w:after="0" w:line="269" w:lineRule="auto"/>
              <w:jc w:val="center"/>
            </w:pPr>
            <w:r>
              <w:rPr>
                <w:b w:val="0"/>
                <w:sz w:val="19"/>
              </w:rPr>
              <w:t>偏差控制</w:t>
            </w:r>
          </w:p>
        </w:tc>
        <w:tc>
          <w:tcPr>
            <w:tcW w:type="dxa" w:w="3515"/>
            <w:vAlign w:val="center"/>
            <w:shd w:fill="FFFFFF"/>
          </w:tcPr>
          <w:p>
            <w:pPr>
              <w:keepNext w:val="0"/>
              <w:spacing w:after="0" w:line="269" w:lineRule="auto"/>
              <w:jc w:val="center"/>
            </w:pPr>
            <w:r>
              <w:rPr>
                <w:b w:val="0"/>
                <w:sz w:val="19"/>
              </w:rPr>
              <w:t>处理幸存者、前视及多重检验</w:t>
            </w:r>
          </w:p>
        </w:tc>
        <w:tc>
          <w:tcPr>
            <w:tcW w:type="dxa" w:w="4479"/>
            <w:vAlign w:val="center"/>
            <w:shd w:fill="FFFFFF"/>
          </w:tcPr>
          <w:p>
            <w:pPr>
              <w:keepNext w:val="0"/>
              <w:spacing w:after="0" w:line="269" w:lineRule="auto"/>
              <w:jc w:val="center"/>
            </w:pPr>
            <w:r>
              <w:rPr>
                <w:b w:val="0"/>
                <w:sz w:val="19"/>
              </w:rPr>
              <w:t>是否挑中了事后最优结果</w:t>
            </w:r>
          </w:p>
        </w:tc>
      </w:tr>
      <w:tr>
        <w:trPr>
          <w:cantSplit/>
        </w:trPr>
        <w:tc>
          <w:tcPr>
            <w:tcW w:type="dxa" w:w="1474"/>
            <w:vAlign w:val="center"/>
            <w:shd w:fill="FFFFFF"/>
          </w:tcPr>
          <w:p>
            <w:pPr>
              <w:keepNext w:val="0"/>
              <w:spacing w:after="0" w:line="269" w:lineRule="auto"/>
              <w:jc w:val="center"/>
            </w:pPr>
            <w:r>
              <w:rPr>
                <w:b w:val="0"/>
                <w:sz w:val="19"/>
              </w:rPr>
              <w:t>经济意义</w:t>
            </w:r>
          </w:p>
        </w:tc>
        <w:tc>
          <w:tcPr>
            <w:tcW w:type="dxa" w:w="3515"/>
            <w:vAlign w:val="center"/>
            <w:shd w:fill="FFFFFF"/>
          </w:tcPr>
          <w:p>
            <w:pPr>
              <w:keepNext w:val="0"/>
              <w:spacing w:after="0" w:line="269" w:lineRule="auto"/>
              <w:jc w:val="center"/>
            </w:pPr>
            <w:r>
              <w:rPr>
                <w:b w:val="0"/>
                <w:sz w:val="19"/>
              </w:rPr>
              <w:t>检查扣费后收益和风险预算</w:t>
            </w:r>
          </w:p>
        </w:tc>
        <w:tc>
          <w:tcPr>
            <w:tcW w:type="dxa" w:w="4479"/>
            <w:vAlign w:val="center"/>
            <w:shd w:fill="FFFFFF"/>
          </w:tcPr>
          <w:p>
            <w:pPr>
              <w:keepNext w:val="0"/>
              <w:spacing w:after="0" w:line="269" w:lineRule="auto"/>
            </w:pPr>
            <w:r>
              <w:rPr>
                <w:b w:val="0"/>
                <w:sz w:val="19"/>
              </w:rPr>
              <w:t>即使显著，金额是否值得承担风险</w:t>
            </w:r>
          </w:p>
        </w:tc>
      </w:tr>
    </w:tbl>
    <w:p>
      <w:pPr>
        <w:spacing w:after="0"/>
      </w:pPr>
    </w:p>
    <w:p>
      <w:r>
        <w:rPr>
          <w:color w:val="000000"/>
        </w:rPr>
        <w:t>最终表述应与证据相匹配。短期正 Alpha 可描述为“观察到模型未解释的正收益”；只有在较长样本、多市场环境、样本外与扣费检验一致时，才能形成更强的管理能力判断。</w:t>
      </w:r>
    </w:p>
    <w:p>
      <w:pPr>
        <w:pStyle w:val="Heading1"/>
        <w:pageBreakBefore/>
      </w:pPr>
      <w:r>
        <w:rPr>
          <w:color w:val="000000"/>
        </w:rPr>
        <w:t>五 风格分析与收益归因</w:t>
      </w:r>
    </w:p>
    <w:p>
      <w:pPr>
        <w:pStyle w:val="Heading2"/>
      </w:pPr>
      <w:r>
        <w:rPr>
          <w:color w:val="000000"/>
        </w:rPr>
        <w:t>1 Sharpe 风格分析识别收益暴露</w:t>
      </w:r>
    </w:p>
    <w:p>
      <w:r>
        <w:rPr>
          <w:color w:val="000000"/>
        </w:rPr>
        <w:t>收益型风格分析使用基金收益对一组资产类别或风格指数进行约束拟合，回答“该组合的收益变化更像哪些市场或风格”。典型长期多头设定要求权重非负、权重之和为 1；以解释收益波动为目标时，可通过最小化残差方差估计权重。[4]</w:t>
      </w:r>
    </w:p>
    <w:p>
      <w:pPr>
        <w:keepLines/>
        <w:spacing w:before="60" w:after="140"/>
        <w:jc w:val="center"/>
      </w:pPr>
      <m:oMathPara>
        <m:oMath>
          <m:sSub>
            <m:e>
              <m:r>
                <w:rPr>
                  <w:rFonts w:ascii="Cambria Math" w:hAnsi="Cambria Math"/>
                  <w:sz w:val="22"/>
                </w:rPr>
                <m:t>r</m:t>
              </m:r>
            </m:e>
            <m:sub>
              <m:r>
                <w:rPr>
                  <w:rFonts w:ascii="Cambria Math" w:hAnsi="Cambria Math"/>
                  <w:sz w:val="22"/>
                </w:rPr>
                <m:t>p,t</m:t>
              </m:r>
            </m:sub>
          </m:sSub>
          <m:r>
            <w:rPr>
              <w:rFonts w:ascii="Cambria Math" w:hAnsi="Cambria Math"/>
              <w:sz w:val="22"/>
            </w:rPr>
            <m:t> = α + </m:t>
          </m:r>
          <m:nary>
            <m:naryPr>
              <m:chr m:val="∑"/>
              <m:limLoc m:val="subSup"/>
            </m:naryPr>
            <m:sub>
              <m:r>
                <w:rPr>
                  <w:rFonts w:ascii="Cambria Math" w:hAnsi="Cambria Math"/>
                  <w:sz w:val="22"/>
                </w:rPr>
                <m:t>k=1</m:t>
              </m:r>
            </m:sub>
            <m:sup>
              <m:r>
                <w:rPr>
                  <w:rFonts w:ascii="Cambria Math" w:hAnsi="Cambria Math"/>
                  <w:sz w:val="22"/>
                </w:rPr>
                <m:t>q</m:t>
              </m:r>
            </m:sup>
            <m:e>
              <m:sSub>
                <m:e>
                  <m:r>
                    <w:rPr>
                      <w:rFonts w:ascii="Cambria Math" w:hAnsi="Cambria Math"/>
                      <w:sz w:val="22"/>
                    </w:rPr>
                    <m:t>w</m:t>
                  </m:r>
                </m:e>
                <m:sub>
                  <m:r>
                    <w:rPr>
                      <w:rFonts w:ascii="Cambria Math" w:hAnsi="Cambria Math"/>
                      <w:sz w:val="22"/>
                    </w:rPr>
                    <m:t>k</m:t>
                  </m:r>
                </m:sub>
              </m:sSub>
              <m:sSub>
                <m:e>
                  <m:r>
                    <w:rPr>
                      <w:rFonts w:ascii="Cambria Math" w:hAnsi="Cambria Math"/>
                      <w:sz w:val="22"/>
                    </w:rPr>
                    <m:t>r</m:t>
                  </m:r>
                </m:e>
                <m:sub>
                  <m:r>
                    <w:rPr>
                      <w:rFonts w:ascii="Cambria Math" w:hAnsi="Cambria Math"/>
                      <w:sz w:val="22"/>
                    </w:rPr>
                    <m:t>k,t</m:t>
                  </m:r>
                </m:sub>
              </m:sSub>
            </m:e>
          </m:nary>
          <m:r>
            <w:rPr>
              <w:rFonts w:ascii="Cambria Math" w:hAnsi="Cambria Math"/>
              <w:sz w:val="22"/>
            </w:rPr>
            <m:t> + </m:t>
          </m:r>
          <m:sSub>
            <m:e>
              <m:r>
                <w:rPr>
                  <w:rFonts w:ascii="Cambria Math" w:hAnsi="Cambria Math"/>
                  <w:sz w:val="22"/>
                </w:rPr>
                <m:t>ε</m:t>
              </m:r>
            </m:e>
            <m:sub>
              <m:r>
                <w:rPr>
                  <w:rFonts w:ascii="Cambria Math" w:hAnsi="Cambria Math"/>
                  <w:sz w:val="22"/>
                </w:rPr>
                <m:t>t</m:t>
              </m:r>
            </m:sub>
          </m:sSub>
          <m:r>
            <w:rPr>
              <w:rFonts w:ascii="Cambria Math" w:hAnsi="Cambria Math"/>
              <w:sz w:val="22"/>
            </w:rPr>
            <m:t>;    </m:t>
          </m:r>
          <m:nary>
            <m:naryPr>
              <m:chr m:val="∑"/>
              <m:limLoc m:val="subSup"/>
            </m:naryPr>
            <m:sub>
              <m:r>
                <w:rPr>
                  <w:rFonts w:ascii="Cambria Math" w:hAnsi="Cambria Math"/>
                  <w:sz w:val="22"/>
                </w:rPr>
                <m:t>k=1</m:t>
              </m:r>
            </m:sub>
            <m:sup>
              <m:r>
                <w:rPr>
                  <w:rFonts w:ascii="Cambria Math" w:hAnsi="Cambria Math"/>
                  <w:sz w:val="22"/>
                </w:rPr>
                <m:t>q</m:t>
              </m:r>
            </m:sup>
            <m:e>
              <m:sSub>
                <m:e>
                  <m:r>
                    <w:rPr>
                      <w:rFonts w:ascii="Cambria Math" w:hAnsi="Cambria Math"/>
                      <w:sz w:val="22"/>
                    </w:rPr>
                    <m:t>w</m:t>
                  </m:r>
                </m:e>
                <m:sub>
                  <m:r>
                    <w:rPr>
                      <w:rFonts w:ascii="Cambria Math" w:hAnsi="Cambria Math"/>
                      <w:sz w:val="22"/>
                    </w:rPr>
                    <m:t>k</m:t>
                  </m:r>
                </m:sub>
              </m:sSub>
            </m:e>
          </m:nary>
          <m:r>
            <w:rPr>
              <w:rFonts w:ascii="Cambria Math" w:hAnsi="Cambria Math"/>
              <w:sz w:val="22"/>
            </w:rPr>
            <m:t> = 1,  </m:t>
          </m:r>
          <m:sSub>
            <m:e>
              <m:r>
                <w:rPr>
                  <w:rFonts w:ascii="Cambria Math" w:hAnsi="Cambria Math"/>
                  <w:sz w:val="22"/>
                </w:rPr>
                <m:t>w</m:t>
              </m:r>
            </m:e>
            <m:sub>
              <m:r>
                <w:rPr>
                  <w:rFonts w:ascii="Cambria Math" w:hAnsi="Cambria Math"/>
                  <w:sz w:val="22"/>
                </w:rPr>
                <m:t>k</m:t>
              </m:r>
            </m:sub>
          </m:sSub>
          <m:r>
            <w:rPr>
              <w:rFonts w:ascii="Cambria Math" w:hAnsi="Cambria Math"/>
              <w:sz w:val="22"/>
            </w:rPr>
            <m:t> ≥ 0</m:t>
          </m:r>
        </m:oMath>
      </m:oMathPara>
    </w:p>
    <w:p>
      <w:r>
        <w:rPr>
          <w:color w:val="000000"/>
        </w:rPr>
        <w:t>计算时，先统一组合与指数的总收益口径，再选定窗口并拟合非负权重，输出拟合优度、残差和滚动权重。风格权重是统计估计，不等同于实际持仓；残差均值也不能直接视为扣除一切风险后的真实选股能力。</w:t>
      </w:r>
    </w:p>
    <w:p>
      <w:r>
        <w:rPr>
          <w:color w:val="000000"/>
        </w:rPr>
        <w:t>原案例选用 SPY、SPYV、SPYG，分别代表广义大盘市场、价值和成长暴露。这三者有较高重叠，不构成互斥类别；共线性会使权重解释不稳定。实际应用宜选择覆盖完整且尽量低冗余的风格基准，并检查替换基准后的稳健性。</w:t>
      </w:r>
    </w:p>
    <w:p>
      <w:pPr>
        <w:jc w:val="center"/>
      </w:pPr>
      <w:r>
        <w:rPr>
          <w:color w:val="000000"/>
        </w:rPr>
        <w:drawing>
          <wp:inline xmlns:a="http://schemas.openxmlformats.org/drawingml/2006/main" xmlns:pic="http://schemas.openxmlformats.org/drawingml/2006/picture">
            <wp:extent cx="5544000" cy="3498397"/>
            <wp:docPr id="1" name="Picture 1" descr="原文四个案例在2006至2012年间的SPY SPYV SPYG估计风格权重"/>
            <wp:cNvGraphicFramePr>
              <a:graphicFrameLocks noChangeAspect="1"/>
            </wp:cNvGraphicFramePr>
            <a:graphic>
              <a:graphicData uri="http://schemas.openxmlformats.org/drawingml/2006/picture">
                <pic:pic>
                  <pic:nvPicPr>
                    <pic:cNvPr id="0" name="source_image1.png"/>
                    <pic:cNvPicPr/>
                  </pic:nvPicPr>
                  <pic:blipFill>
                    <a:blip r:embed="rId10"/>
                    <a:stretch>
                      <a:fillRect/>
                    </a:stretch>
                  </pic:blipFill>
                  <pic:spPr>
                    <a:xfrm>
                      <a:off x="0" y="0"/>
                      <a:ext cx="5544000" cy="3498397"/>
                    </a:xfrm>
                    <a:prstGeom prst="rect"/>
                  </pic:spPr>
                </pic:pic>
              </a:graphicData>
            </a:graphic>
          </wp:inline>
        </w:drawing>
      </w:r>
    </w:p>
    <w:p>
      <w:pPr>
        <w:pStyle w:val="Caption"/>
      </w:pPr>
      <w:r>
        <w:rPr>
          <w:color w:val="000000"/>
        </w:rPr>
        <w:t>图 1  原案例的滚动风格权重示意  图像沿用原文</w:t>
      </w:r>
    </w:p>
    <w:p>
      <w:r>
        <w:rPr>
          <w:color w:val="000000"/>
        </w:rPr>
        <w:t>从图示看，LSVEX 的价值暴露较突出；FMAGX 和 GSCGX 的成长暴露在后段上升；BRK 的估计风格暴露在危机阶段发生明显变化。这些现象用于提示进一步检查持仓、投资授权和估计窗口，不能据此断言经理主动完成了某种风格切换。</w:t>
      </w:r>
    </w:p>
    <w:p>
      <w:pPr>
        <w:spacing w:line="276" w:lineRule="auto" w:after="100"/>
      </w:pPr>
      <w:r>
        <w:rPr>
          <w:color w:val="000000"/>
          <w:sz w:val="18"/>
        </w:rPr>
        <w:t>案例边界：图示年份约为 2006—2012 年，收益频率、滚动窗口、费用口径和原始数据来源未标注。BRK 为伯克希尔相关证券案例，不与共同基金直接作无条件排名；证券类别亦应核实。该图仅用于方法解读。</w:t>
      </w:r>
    </w:p>
    <w:p>
      <w:pPr>
        <w:pStyle w:val="Heading2"/>
        <w:pageBreakBefore/>
      </w:pPr>
      <w:r>
        <w:rPr>
          <w:color w:val="000000"/>
        </w:rPr>
        <w:t>2 Brinson 归因区分配置与选择</w:t>
      </w:r>
    </w:p>
    <w:p>
      <w:r>
        <w:rPr>
          <w:color w:val="000000"/>
        </w:rPr>
        <w:t>Brinson 将单期组合相对基准的收益差额，拆分为行业配置、行业内选择和交互效应。以下使用 Brinson–Hood–Beebower 三项分解，组合与基准权重均应加总为 1，现金也应纳入一致分类。</w:t>
      </w:r>
    </w:p>
    <w:p>
      <w:pPr>
        <w:keepLines/>
        <w:spacing w:before="60" w:after="140"/>
        <w:jc w:val="center"/>
      </w:pPr>
      <m:oMathPara>
        <m:oMath>
          <m:sSub>
            <m:e>
              <m:r>
                <w:rPr>
                  <w:rFonts w:ascii="Cambria Math" w:hAnsi="Cambria Math"/>
                  <w:sz w:val="22"/>
                </w:rPr>
                <m:t>A</m:t>
              </m:r>
            </m:e>
            <m:sub>
              <m:r>
                <w:rPr>
                  <w:rFonts w:ascii="Cambria Math" w:hAnsi="Cambria Math"/>
                  <w:sz w:val="22"/>
                </w:rPr>
                <m:t>i</m:t>
              </m:r>
            </m:sub>
          </m:sSub>
          <m:r>
            <w:rPr>
              <w:rFonts w:ascii="Cambria Math" w:hAnsi="Cambria Math"/>
              <w:sz w:val="22"/>
            </w:rPr>
            <m:t> = (</m:t>
          </m:r>
          <m:sSub>
            <m:e>
              <m:r>
                <w:rPr>
                  <w:rFonts w:ascii="Cambria Math" w:hAnsi="Cambria Math"/>
                  <w:sz w:val="22"/>
                </w:rPr>
                <m:t>w</m:t>
              </m:r>
            </m:e>
            <m:sub>
              <m:r>
                <w:rPr>
                  <w:rFonts w:ascii="Cambria Math" w:hAnsi="Cambria Math"/>
                  <w:sz w:val="22"/>
                </w:rPr>
                <m:t>p,i</m:t>
              </m:r>
            </m:sub>
          </m:sSub>
          <m:r>
            <w:rPr>
              <w:rFonts w:ascii="Cambria Math" w:hAnsi="Cambria Math"/>
              <w:sz w:val="22"/>
            </w:rPr>
            <m:t> − </m:t>
          </m:r>
          <m:sSub>
            <m:e>
              <m:r>
                <w:rPr>
                  <w:rFonts w:ascii="Cambria Math" w:hAnsi="Cambria Math"/>
                  <w:sz w:val="22"/>
                </w:rPr>
                <m:t>w</m:t>
              </m:r>
            </m:e>
            <m:sub>
              <m:r>
                <w:rPr>
                  <w:rFonts w:ascii="Cambria Math" w:hAnsi="Cambria Math"/>
                  <w:sz w:val="22"/>
                </w:rPr>
                <m:t>b,i</m:t>
              </m:r>
            </m:sub>
          </m:sSub>
          <m:r>
            <w:rPr>
              <w:rFonts w:ascii="Cambria Math" w:hAnsi="Cambria Math"/>
              <w:sz w:val="22"/>
            </w:rPr>
            <m:t>)</m:t>
          </m:r>
          <m:sSub>
            <m:e>
              <m:r>
                <w:rPr>
                  <w:rFonts w:ascii="Cambria Math" w:hAnsi="Cambria Math"/>
                  <w:sz w:val="22"/>
                </w:rPr>
                <m:t>r</m:t>
              </m:r>
            </m:e>
            <m:sub>
              <m:r>
                <w:rPr>
                  <w:rFonts w:ascii="Cambria Math" w:hAnsi="Cambria Math"/>
                  <w:sz w:val="22"/>
                </w:rPr>
                <m:t>b,i</m:t>
              </m:r>
            </m:sub>
          </m:sSub>
        </m:oMath>
      </m:oMathPara>
    </w:p>
    <w:p>
      <w:pPr>
        <w:keepLines/>
        <w:spacing w:before="60" w:after="140"/>
        <w:jc w:val="center"/>
      </w:pPr>
      <m:oMathPara>
        <m:oMath>
          <m:sSub>
            <m:e>
              <m:r>
                <w:rPr>
                  <w:rFonts w:ascii="Cambria Math" w:hAnsi="Cambria Math"/>
                  <w:sz w:val="22"/>
                </w:rPr>
                <m:t>S</m:t>
              </m:r>
            </m:e>
            <m:sub>
              <m:r>
                <w:rPr>
                  <w:rFonts w:ascii="Cambria Math" w:hAnsi="Cambria Math"/>
                  <w:sz w:val="22"/>
                </w:rPr>
                <m:t>i</m:t>
              </m:r>
            </m:sub>
          </m:sSub>
          <m:r>
            <w:rPr>
              <w:rFonts w:ascii="Cambria Math" w:hAnsi="Cambria Math"/>
              <w:sz w:val="22"/>
            </w:rPr>
            <m:t> = </m:t>
          </m:r>
          <m:sSub>
            <m:e>
              <m:r>
                <w:rPr>
                  <w:rFonts w:ascii="Cambria Math" w:hAnsi="Cambria Math"/>
                  <w:sz w:val="22"/>
                </w:rPr>
                <m:t>w</m:t>
              </m:r>
            </m:e>
            <m:sub>
              <m:r>
                <w:rPr>
                  <w:rFonts w:ascii="Cambria Math" w:hAnsi="Cambria Math"/>
                  <w:sz w:val="22"/>
                </w:rPr>
                <m:t>b,i</m:t>
              </m:r>
            </m:sub>
          </m:sSub>
          <m:r>
            <w:rPr>
              <w:rFonts w:ascii="Cambria Math" w:hAnsi="Cambria Math"/>
              <w:sz w:val="22"/>
            </w:rPr>
            <m:t>(</m:t>
          </m:r>
          <m:sSub>
            <m:e>
              <m:r>
                <w:rPr>
                  <w:rFonts w:ascii="Cambria Math" w:hAnsi="Cambria Math"/>
                  <w:sz w:val="22"/>
                </w:rPr>
                <m:t>r</m:t>
              </m:r>
            </m:e>
            <m:sub>
              <m:r>
                <w:rPr>
                  <w:rFonts w:ascii="Cambria Math" w:hAnsi="Cambria Math"/>
                  <w:sz w:val="22"/>
                </w:rPr>
                <m:t>p,i</m:t>
              </m:r>
            </m:sub>
          </m:sSub>
          <m:r>
            <w:rPr>
              <w:rFonts w:ascii="Cambria Math" w:hAnsi="Cambria Math"/>
              <w:sz w:val="22"/>
            </w:rPr>
            <m:t> − </m:t>
          </m:r>
          <m:sSub>
            <m:e>
              <m:r>
                <w:rPr>
                  <w:rFonts w:ascii="Cambria Math" w:hAnsi="Cambria Math"/>
                  <w:sz w:val="22"/>
                </w:rPr>
                <m:t>r</m:t>
              </m:r>
            </m:e>
            <m:sub>
              <m:r>
                <w:rPr>
                  <w:rFonts w:ascii="Cambria Math" w:hAnsi="Cambria Math"/>
                  <w:sz w:val="22"/>
                </w:rPr>
                <m:t>b,i</m:t>
              </m:r>
            </m:sub>
          </m:sSub>
          <m:r>
            <w:rPr>
              <w:rFonts w:ascii="Cambria Math" w:hAnsi="Cambria Math"/>
              <w:sz w:val="22"/>
            </w:rPr>
            <m:t>)</m:t>
          </m:r>
        </m:oMath>
      </m:oMathPara>
    </w:p>
    <w:p>
      <w:pPr>
        <w:keepLines/>
        <w:spacing w:before="60" w:after="140"/>
        <w:jc w:val="center"/>
      </w:pPr>
      <m:oMathPara>
        <m:oMath>
          <m:sSub>
            <m:e>
              <m:r>
                <w:rPr>
                  <w:rFonts w:ascii="Cambria Math" w:hAnsi="Cambria Math"/>
                  <w:sz w:val="22"/>
                </w:rPr>
                <m:t>I</m:t>
              </m:r>
            </m:e>
            <m:sub>
              <m:r>
                <w:rPr>
                  <w:rFonts w:ascii="Cambria Math" w:hAnsi="Cambria Math"/>
                  <w:sz w:val="22"/>
                </w:rPr>
                <m:t>i</m:t>
              </m:r>
            </m:sub>
          </m:sSub>
          <m:r>
            <w:rPr>
              <w:rFonts w:ascii="Cambria Math" w:hAnsi="Cambria Math"/>
              <w:sz w:val="22"/>
            </w:rPr>
            <m:t> = (</m:t>
          </m:r>
          <m:sSub>
            <m:e>
              <m:r>
                <w:rPr>
                  <w:rFonts w:ascii="Cambria Math" w:hAnsi="Cambria Math"/>
                  <w:sz w:val="22"/>
                </w:rPr>
                <m:t>w</m:t>
              </m:r>
            </m:e>
            <m:sub>
              <m:r>
                <w:rPr>
                  <w:rFonts w:ascii="Cambria Math" w:hAnsi="Cambria Math"/>
                  <w:sz w:val="22"/>
                </w:rPr>
                <m:t>p,i</m:t>
              </m:r>
            </m:sub>
          </m:sSub>
          <m:r>
            <w:rPr>
              <w:rFonts w:ascii="Cambria Math" w:hAnsi="Cambria Math"/>
              <w:sz w:val="22"/>
            </w:rPr>
            <m:t> − </m:t>
          </m:r>
          <m:sSub>
            <m:e>
              <m:r>
                <w:rPr>
                  <w:rFonts w:ascii="Cambria Math" w:hAnsi="Cambria Math"/>
                  <w:sz w:val="22"/>
                </w:rPr>
                <m:t>w</m:t>
              </m:r>
            </m:e>
            <m:sub>
              <m:r>
                <w:rPr>
                  <w:rFonts w:ascii="Cambria Math" w:hAnsi="Cambria Math"/>
                  <w:sz w:val="22"/>
                </w:rPr>
                <m:t>b,i</m:t>
              </m:r>
            </m:sub>
          </m:sSub>
          <m:r>
            <w:rPr>
              <w:rFonts w:ascii="Cambria Math" w:hAnsi="Cambria Math"/>
              <w:sz w:val="22"/>
            </w:rPr>
            <m:t>)(</m:t>
          </m:r>
          <m:sSub>
            <m:e>
              <m:r>
                <w:rPr>
                  <w:rFonts w:ascii="Cambria Math" w:hAnsi="Cambria Math"/>
                  <w:sz w:val="22"/>
                </w:rPr>
                <m:t>r</m:t>
              </m:r>
            </m:e>
            <m:sub>
              <m:r>
                <w:rPr>
                  <w:rFonts w:ascii="Cambria Math" w:hAnsi="Cambria Math"/>
                  <w:sz w:val="22"/>
                </w:rPr>
                <m:t>p,i</m:t>
              </m:r>
            </m:sub>
          </m:sSub>
          <m:r>
            <w:rPr>
              <w:rFonts w:ascii="Cambria Math" w:hAnsi="Cambria Math"/>
              <w:sz w:val="22"/>
            </w:rPr>
            <m:t> − </m:t>
          </m:r>
          <m:sSub>
            <m:e>
              <m:r>
                <w:rPr>
                  <w:rFonts w:ascii="Cambria Math" w:hAnsi="Cambria Math"/>
                  <w:sz w:val="22"/>
                </w:rPr>
                <m:t>r</m:t>
              </m:r>
            </m:e>
            <m:sub>
              <m:r>
                <w:rPr>
                  <w:rFonts w:ascii="Cambria Math" w:hAnsi="Cambria Math"/>
                  <w:sz w:val="22"/>
                </w:rPr>
                <m:t>b,i</m:t>
              </m:r>
            </m:sub>
          </m:sSub>
          <m:r>
            <w:rPr>
              <w:rFonts w:ascii="Cambria Math" w:hAnsi="Cambria Math"/>
              <w:sz w:val="22"/>
            </w:rPr>
            <m:t>)</m:t>
          </m:r>
        </m:oMath>
      </m:oMathPara>
    </w:p>
    <w:p>
      <w:pPr>
        <w:keepLines/>
        <w:spacing w:before="60" w:after="140"/>
        <w:jc w:val="center"/>
      </w:pPr>
      <m:oMathPara>
        <m:oMath>
          <m:sSub>
            <m:e>
              <m:r>
                <w:rPr>
                  <w:rFonts w:ascii="Cambria Math" w:hAnsi="Cambria Math"/>
                  <w:sz w:val="22"/>
                </w:rPr>
                <m:t>r</m:t>
              </m:r>
            </m:e>
            <m:sub>
              <m:r>
                <w:rPr>
                  <w:rFonts w:ascii="Cambria Math" w:hAnsi="Cambria Math"/>
                  <w:sz w:val="22"/>
                </w:rPr>
                <m:t>p</m:t>
              </m:r>
            </m:sub>
          </m:sSub>
          <m:r>
            <w:rPr>
              <w:rFonts w:ascii="Cambria Math" w:hAnsi="Cambria Math"/>
              <w:sz w:val="22"/>
            </w:rPr>
            <m:t> − </m:t>
          </m:r>
          <m:sSub>
            <m:e>
              <m:r>
                <w:rPr>
                  <w:rFonts w:ascii="Cambria Math" w:hAnsi="Cambria Math"/>
                  <w:sz w:val="22"/>
                </w:rPr>
                <m:t>r</m:t>
              </m:r>
            </m:e>
            <m:sub>
              <m:r>
                <w:rPr>
                  <w:rFonts w:ascii="Cambria Math" w:hAnsi="Cambria Math"/>
                  <w:sz w:val="22"/>
                </w:rPr>
                <m:t>b</m:t>
              </m:r>
            </m:sub>
          </m:sSub>
          <m:r>
            <w:rPr>
              <w:rFonts w:ascii="Cambria Math" w:hAnsi="Cambria Math"/>
              <w:sz w:val="22"/>
            </w:rPr>
            <m:t> = </m:t>
          </m:r>
          <m:nary>
            <m:naryPr>
              <m:chr m:val="∑"/>
              <m:limLoc m:val="subSup"/>
              <m:supHide m:val="1"/>
            </m:naryPr>
            <m:sub>
              <m:r>
                <w:rPr>
                  <w:rFonts w:ascii="Cambria Math" w:hAnsi="Cambria Math"/>
                  <w:sz w:val="22"/>
                </w:rPr>
                <m:t>i</m:t>
              </m:r>
            </m:sub>
            <m:sup>
              <m:r>
                <w:rPr>
                  <w:rFonts w:ascii="Cambria Math" w:hAnsi="Cambria Math"/>
                  <w:sz w:val="22"/>
                </w:rPr>
                <m:t/>
              </m:r>
            </m:sup>
            <m:e>
              <m:r>
                <w:rPr>
                  <w:rFonts w:ascii="Cambria Math" w:hAnsi="Cambria Math"/>
                  <w:sz w:val="22"/>
                </w:rPr>
                <m:t>(</m:t>
              </m:r>
              <m:sSub>
                <m:e>
                  <m:r>
                    <w:rPr>
                      <w:rFonts w:ascii="Cambria Math" w:hAnsi="Cambria Math"/>
                      <w:sz w:val="22"/>
                    </w:rPr>
                    <m:t>A</m:t>
                  </m:r>
                </m:e>
                <m:sub>
                  <m:r>
                    <w:rPr>
                      <w:rFonts w:ascii="Cambria Math" w:hAnsi="Cambria Math"/>
                      <w:sz w:val="22"/>
                    </w:rPr>
                    <m:t>i</m:t>
                  </m:r>
                </m:sub>
              </m:sSub>
              <m:r>
                <w:rPr>
                  <w:rFonts w:ascii="Cambria Math" w:hAnsi="Cambria Math"/>
                  <w:sz w:val="22"/>
                </w:rPr>
                <m:t> + </m:t>
              </m:r>
              <m:sSub>
                <m:e>
                  <m:r>
                    <w:rPr>
                      <w:rFonts w:ascii="Cambria Math" w:hAnsi="Cambria Math"/>
                      <w:sz w:val="22"/>
                    </w:rPr>
                    <m:t>S</m:t>
                  </m:r>
                </m:e>
                <m:sub>
                  <m:r>
                    <w:rPr>
                      <w:rFonts w:ascii="Cambria Math" w:hAnsi="Cambria Math"/>
                      <w:sz w:val="22"/>
                    </w:rPr>
                    <m:t>i</m:t>
                  </m:r>
                </m:sub>
              </m:sSub>
              <m:r>
                <w:rPr>
                  <w:rFonts w:ascii="Cambria Math" w:hAnsi="Cambria Math"/>
                  <w:sz w:val="22"/>
                </w:rPr>
                <m:t> + </m:t>
              </m:r>
              <m:sSub>
                <m:e>
                  <m:r>
                    <w:rPr>
                      <w:rFonts w:ascii="Cambria Math" w:hAnsi="Cambria Math"/>
                      <w:sz w:val="22"/>
                    </w:rPr>
                    <m:t>I</m:t>
                  </m:r>
                </m:e>
                <m:sub>
                  <m:r>
                    <w:rPr>
                      <w:rFonts w:ascii="Cambria Math" w:hAnsi="Cambria Math"/>
                      <w:sz w:val="22"/>
                    </w:rPr>
                    <m:t>i</m:t>
                  </m:r>
                </m:sub>
              </m:sSub>
              <m:r>
                <w:rPr>
                  <w:rFonts w:ascii="Cambria Math" w:hAnsi="Cambria Math"/>
                  <w:sz w:val="22"/>
                </w:rPr>
                <m:t>)</m:t>
              </m:r>
            </m:e>
          </m:nary>
        </m:oMath>
      </m:oMathPara>
    </w:p>
    <w:p>
      <w:r>
        <w:rPr>
          <w:color w:val="000000"/>
        </w:rPr>
        <w:t>配置效应反映增减行业权重的贡献；选择效应反映行业内部相对收益的贡献；交互效应反映主动权重与行业内相对收益共同作用。Brinson–Fachler 版本的配置项会将行业基准收益减去整体基准收益；在完整权重下总配置贡献一致，但行业分配不同，应标明版本。</w:t>
      </w:r>
    </w:p>
    <w:p>
      <w:pPr>
        <w:pStyle w:val="Heading2"/>
      </w:pPr>
      <w:r>
        <w:rPr>
          <w:color w:val="000000"/>
        </w:rPr>
        <w:t>单期演示与第九部分第一个月衔接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191"/>
        <w:gridCol w:w="1757"/>
        <w:gridCol w:w="1757"/>
        <w:gridCol w:w="2381"/>
        <w:gridCol w:w="2381"/>
      </w:tblGrid>
      <w:tr>
        <w:trPr>
          <w:cantSplit/>
          <w:tblHeader/>
        </w:trPr>
        <w:tc>
          <w:tcPr>
            <w:tcW w:type="dxa" w:w="1191"/>
            <w:vAlign w:val="center"/>
            <w:shd w:fill="DFE8F0"/>
          </w:tcPr>
          <w:p>
            <w:pPr>
              <w:keepNext/>
              <w:spacing w:after="0" w:line="269" w:lineRule="auto"/>
              <w:jc w:val="center"/>
            </w:pPr>
            <w:r>
              <w:rPr>
                <w:b/>
                <w:sz w:val="19"/>
              </w:rPr>
              <w:t>行业</w:t>
            </w:r>
          </w:p>
        </w:tc>
        <w:tc>
          <w:tcPr>
            <w:tcW w:type="dxa" w:w="1757"/>
            <w:vAlign w:val="center"/>
            <w:shd w:fill="DFE8F0"/>
          </w:tcPr>
          <w:p>
            <w:pPr>
              <w:keepNext/>
              <w:spacing w:after="0" w:line="269" w:lineRule="auto"/>
              <w:jc w:val="center"/>
            </w:pPr>
            <w:r>
              <w:rPr>
                <w:b/>
                <w:sz w:val="19"/>
              </w:rPr>
              <w:t>组合权重</w:t>
            </w:r>
          </w:p>
        </w:tc>
        <w:tc>
          <w:tcPr>
            <w:tcW w:type="dxa" w:w="1757"/>
            <w:vAlign w:val="center"/>
            <w:shd w:fill="DFE8F0"/>
          </w:tcPr>
          <w:p>
            <w:pPr>
              <w:keepNext/>
              <w:spacing w:after="0" w:line="269" w:lineRule="auto"/>
              <w:jc w:val="center"/>
            </w:pPr>
            <w:r>
              <w:rPr>
                <w:b/>
                <w:sz w:val="19"/>
              </w:rPr>
              <w:t>基准权重</w:t>
            </w:r>
          </w:p>
        </w:tc>
        <w:tc>
          <w:tcPr>
            <w:tcW w:type="dxa" w:w="2381"/>
            <w:vAlign w:val="center"/>
            <w:shd w:fill="DFE8F0"/>
          </w:tcPr>
          <w:p>
            <w:pPr>
              <w:keepNext/>
              <w:spacing w:after="0" w:line="269" w:lineRule="auto"/>
              <w:jc w:val="center"/>
            </w:pPr>
            <w:r>
              <w:rPr>
                <w:b/>
                <w:sz w:val="19"/>
              </w:rPr>
              <w:t>组合行业收益</w:t>
            </w:r>
          </w:p>
        </w:tc>
        <w:tc>
          <w:tcPr>
            <w:tcW w:type="dxa" w:w="2381"/>
            <w:vAlign w:val="center"/>
            <w:shd w:fill="DFE8F0"/>
          </w:tcPr>
          <w:p>
            <w:pPr>
              <w:keepNext/>
              <w:spacing w:after="0" w:line="269" w:lineRule="auto"/>
              <w:jc w:val="center"/>
            </w:pPr>
            <w:r>
              <w:rPr>
                <w:b/>
                <w:sz w:val="19"/>
              </w:rPr>
              <w:t>基准行业收益</w:t>
            </w:r>
          </w:p>
        </w:tc>
      </w:tr>
      <w:tr>
        <w:trPr>
          <w:cantSplit/>
        </w:trPr>
        <w:tc>
          <w:tcPr>
            <w:tcW w:type="dxa" w:w="1191"/>
            <w:vAlign w:val="center"/>
            <w:shd w:fill="FFFFFF"/>
          </w:tcPr>
          <w:p>
            <w:pPr>
              <w:keepNext w:val="0"/>
              <w:spacing w:after="0" w:line="269" w:lineRule="auto"/>
              <w:jc w:val="center"/>
            </w:pPr>
            <w:r>
              <w:rPr>
                <w:b w:val="0"/>
                <w:sz w:val="19"/>
              </w:rPr>
              <w:t>甲</w:t>
            </w:r>
          </w:p>
        </w:tc>
        <w:tc>
          <w:tcPr>
            <w:tcW w:type="dxa" w:w="1757"/>
            <w:vAlign w:val="center"/>
            <w:shd w:fill="FFFFFF"/>
          </w:tcPr>
          <w:p>
            <w:pPr>
              <w:keepNext w:val="0"/>
              <w:spacing w:after="0" w:line="269" w:lineRule="auto"/>
              <w:jc w:val="center"/>
            </w:pPr>
            <w:r>
              <w:rPr>
                <w:b w:val="0"/>
                <w:sz w:val="19"/>
              </w:rPr>
              <w:t>50%</w:t>
            </w:r>
          </w:p>
        </w:tc>
        <w:tc>
          <w:tcPr>
            <w:tcW w:type="dxa" w:w="1757"/>
            <w:vAlign w:val="center"/>
            <w:shd w:fill="FFFFFF"/>
          </w:tcPr>
          <w:p>
            <w:pPr>
              <w:keepNext w:val="0"/>
              <w:spacing w:after="0" w:line="269" w:lineRule="auto"/>
              <w:jc w:val="center"/>
            </w:pPr>
            <w:r>
              <w:rPr>
                <w:b w:val="0"/>
                <w:sz w:val="19"/>
              </w:rPr>
              <w:t>40%</w:t>
            </w:r>
          </w:p>
        </w:tc>
        <w:tc>
          <w:tcPr>
            <w:tcW w:type="dxa" w:w="2381"/>
            <w:vAlign w:val="center"/>
            <w:shd w:fill="FFFFFF"/>
          </w:tcPr>
          <w:p>
            <w:pPr>
              <w:keepNext w:val="0"/>
              <w:spacing w:after="0" w:line="269" w:lineRule="auto"/>
              <w:jc w:val="center"/>
            </w:pPr>
            <w:r>
              <w:rPr>
                <w:b w:val="0"/>
                <w:sz w:val="19"/>
              </w:rPr>
              <w:t>3.8%</w:t>
            </w:r>
          </w:p>
        </w:tc>
        <w:tc>
          <w:tcPr>
            <w:tcW w:type="dxa" w:w="2381"/>
            <w:vAlign w:val="center"/>
            <w:shd w:fill="FFFFFF"/>
          </w:tcPr>
          <w:p>
            <w:pPr>
              <w:keepNext w:val="0"/>
              <w:spacing w:after="0" w:line="269" w:lineRule="auto"/>
              <w:jc w:val="center"/>
            </w:pPr>
            <w:r>
              <w:rPr>
                <w:b w:val="0"/>
                <w:sz w:val="19"/>
              </w:rPr>
              <w:t>3.0%</w:t>
            </w:r>
          </w:p>
        </w:tc>
      </w:tr>
      <w:tr>
        <w:trPr>
          <w:cantSplit/>
        </w:trPr>
        <w:tc>
          <w:tcPr>
            <w:tcW w:type="dxa" w:w="1191"/>
            <w:vAlign w:val="center"/>
            <w:shd w:fill="FFFFFF"/>
          </w:tcPr>
          <w:p>
            <w:pPr>
              <w:keepNext w:val="0"/>
              <w:spacing w:after="0" w:line="269" w:lineRule="auto"/>
              <w:jc w:val="center"/>
            </w:pPr>
            <w:r>
              <w:rPr>
                <w:b w:val="0"/>
                <w:sz w:val="19"/>
              </w:rPr>
              <w:t>乙</w:t>
            </w:r>
          </w:p>
        </w:tc>
        <w:tc>
          <w:tcPr>
            <w:tcW w:type="dxa" w:w="1757"/>
            <w:vAlign w:val="center"/>
            <w:shd w:fill="FFFFFF"/>
          </w:tcPr>
          <w:p>
            <w:pPr>
              <w:keepNext w:val="0"/>
              <w:spacing w:after="0" w:line="269" w:lineRule="auto"/>
              <w:jc w:val="center"/>
            </w:pPr>
            <w:r>
              <w:rPr>
                <w:b w:val="0"/>
                <w:sz w:val="19"/>
              </w:rPr>
              <w:t>30%</w:t>
            </w:r>
          </w:p>
        </w:tc>
        <w:tc>
          <w:tcPr>
            <w:tcW w:type="dxa" w:w="1757"/>
            <w:vAlign w:val="center"/>
            <w:shd w:fill="FFFFFF"/>
          </w:tcPr>
          <w:p>
            <w:pPr>
              <w:keepNext w:val="0"/>
              <w:spacing w:after="0" w:line="269" w:lineRule="auto"/>
              <w:jc w:val="center"/>
            </w:pPr>
            <w:r>
              <w:rPr>
                <w:b w:val="0"/>
                <w:sz w:val="19"/>
              </w:rPr>
              <w:t>40%</w:t>
            </w:r>
          </w:p>
        </w:tc>
        <w:tc>
          <w:tcPr>
            <w:tcW w:type="dxa" w:w="2381"/>
            <w:vAlign w:val="center"/>
            <w:shd w:fill="FFFFFF"/>
          </w:tcPr>
          <w:p>
            <w:pPr>
              <w:keepNext w:val="0"/>
              <w:spacing w:after="0" w:line="269" w:lineRule="auto"/>
              <w:jc w:val="center"/>
            </w:pPr>
            <w:r>
              <w:rPr>
                <w:b w:val="0"/>
                <w:sz w:val="19"/>
              </w:rPr>
              <w:t>1.0%</w:t>
            </w:r>
          </w:p>
        </w:tc>
        <w:tc>
          <w:tcPr>
            <w:tcW w:type="dxa" w:w="2381"/>
            <w:vAlign w:val="center"/>
            <w:shd w:fill="FFFFFF"/>
          </w:tcPr>
          <w:p>
            <w:pPr>
              <w:keepNext w:val="0"/>
              <w:spacing w:after="0" w:line="269" w:lineRule="auto"/>
              <w:jc w:val="center"/>
            </w:pPr>
            <w:r>
              <w:rPr>
                <w:b w:val="0"/>
                <w:sz w:val="19"/>
              </w:rPr>
              <w:t>1.0%</w:t>
            </w:r>
          </w:p>
        </w:tc>
      </w:tr>
      <w:tr>
        <w:trPr>
          <w:cantSplit/>
        </w:trPr>
        <w:tc>
          <w:tcPr>
            <w:tcW w:type="dxa" w:w="1191"/>
            <w:vAlign w:val="center"/>
            <w:shd w:fill="FFFFFF"/>
          </w:tcPr>
          <w:p>
            <w:pPr>
              <w:keepNext w:val="0"/>
              <w:spacing w:after="0" w:line="269" w:lineRule="auto"/>
              <w:jc w:val="center"/>
            </w:pPr>
            <w:r>
              <w:rPr>
                <w:b w:val="0"/>
                <w:sz w:val="19"/>
              </w:rPr>
              <w:t>丙</w:t>
            </w:r>
          </w:p>
        </w:tc>
        <w:tc>
          <w:tcPr>
            <w:tcW w:type="dxa" w:w="1757"/>
            <w:vAlign w:val="center"/>
            <w:shd w:fill="FFFFFF"/>
          </w:tcPr>
          <w:p>
            <w:pPr>
              <w:keepNext w:val="0"/>
              <w:spacing w:after="0" w:line="269" w:lineRule="auto"/>
              <w:jc w:val="center"/>
            </w:pPr>
            <w:r>
              <w:rPr>
                <w:b w:val="0"/>
                <w:sz w:val="19"/>
              </w:rPr>
              <w:t>20%</w:t>
            </w:r>
          </w:p>
        </w:tc>
        <w:tc>
          <w:tcPr>
            <w:tcW w:type="dxa" w:w="1757"/>
            <w:vAlign w:val="center"/>
            <w:shd w:fill="FFFFFF"/>
          </w:tcPr>
          <w:p>
            <w:pPr>
              <w:keepNext w:val="0"/>
              <w:spacing w:after="0" w:line="269" w:lineRule="auto"/>
              <w:jc w:val="center"/>
            </w:pPr>
            <w:r>
              <w:rPr>
                <w:b w:val="0"/>
                <w:sz w:val="19"/>
              </w:rPr>
              <w:t>20%</w:t>
            </w:r>
          </w:p>
        </w:tc>
        <w:tc>
          <w:tcPr>
            <w:tcW w:type="dxa" w:w="2381"/>
            <w:vAlign w:val="center"/>
            <w:shd w:fill="FFFFFF"/>
          </w:tcPr>
          <w:p>
            <w:pPr>
              <w:keepNext w:val="0"/>
              <w:spacing w:after="0" w:line="269" w:lineRule="auto"/>
              <w:jc w:val="center"/>
            </w:pPr>
            <w:r>
              <w:rPr>
                <w:b w:val="0"/>
                <w:sz w:val="19"/>
              </w:rPr>
              <w:t>−1.0%</w:t>
            </w:r>
          </w:p>
        </w:tc>
        <w:tc>
          <w:tcPr>
            <w:tcW w:type="dxa" w:w="2381"/>
            <w:vAlign w:val="center"/>
            <w:shd w:fill="FFFFFF"/>
          </w:tcPr>
          <w:p>
            <w:pPr>
              <w:keepNext w:val="0"/>
              <w:spacing w:after="0" w:line="269" w:lineRule="auto"/>
              <w:jc w:val="center"/>
            </w:pPr>
            <w:r>
              <w:rPr>
                <w:b w:val="0"/>
                <w:sz w:val="19"/>
              </w:rPr>
              <w:t>−0.5%</w:t>
            </w:r>
          </w:p>
        </w:tc>
      </w:tr>
    </w:tbl>
    <w:p>
      <w:pPr>
        <w:spacing w:after="0"/>
      </w:pPr>
    </w:p>
    <w:p>
      <w:r>
        <w:rPr>
          <w:color w:val="000000"/>
        </w:rPr>
        <w:t>第一步，按期初权重加权：组合收益为 50% × 3.8% + 30% × 1.0% + 20% × (−1.0%) = 2.00%；基准收益为 1.50%，主动收益为 0.50 个百分点。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191"/>
        <w:gridCol w:w="2041"/>
        <w:gridCol w:w="2041"/>
        <w:gridCol w:w="2041"/>
        <w:gridCol w:w="2154"/>
      </w:tblGrid>
      <w:tr>
        <w:trPr>
          <w:cantSplit/>
          <w:tblHeader/>
        </w:trPr>
        <w:tc>
          <w:tcPr>
            <w:tcW w:type="dxa" w:w="1191"/>
            <w:vAlign w:val="center"/>
            <w:shd w:fill="DFE8F0"/>
          </w:tcPr>
          <w:p>
            <w:pPr>
              <w:keepNext/>
              <w:spacing w:after="0" w:line="269" w:lineRule="auto"/>
              <w:jc w:val="center"/>
            </w:pPr>
            <w:r>
              <w:rPr>
                <w:b/>
                <w:sz w:val="19"/>
              </w:rPr>
              <w:t>行业</w:t>
            </w:r>
          </w:p>
        </w:tc>
        <w:tc>
          <w:tcPr>
            <w:tcW w:type="dxa" w:w="2041"/>
            <w:vAlign w:val="center"/>
            <w:shd w:fill="DFE8F0"/>
          </w:tcPr>
          <w:p>
            <w:pPr>
              <w:keepNext/>
              <w:spacing w:after="0" w:line="269" w:lineRule="auto"/>
              <w:jc w:val="center"/>
            </w:pPr>
            <w:r>
              <w:rPr>
                <w:b/>
                <w:sz w:val="19"/>
              </w:rPr>
              <w:t>配置贡献</w:t>
            </w:r>
          </w:p>
        </w:tc>
        <w:tc>
          <w:tcPr>
            <w:tcW w:type="dxa" w:w="2041"/>
            <w:vAlign w:val="center"/>
            <w:shd w:fill="DFE8F0"/>
          </w:tcPr>
          <w:p>
            <w:pPr>
              <w:keepNext/>
              <w:spacing w:after="0" w:line="269" w:lineRule="auto"/>
              <w:jc w:val="center"/>
            </w:pPr>
            <w:r>
              <w:rPr>
                <w:b/>
                <w:sz w:val="19"/>
              </w:rPr>
              <w:t>选择贡献</w:t>
            </w:r>
          </w:p>
        </w:tc>
        <w:tc>
          <w:tcPr>
            <w:tcW w:type="dxa" w:w="2041"/>
            <w:vAlign w:val="center"/>
            <w:shd w:fill="DFE8F0"/>
          </w:tcPr>
          <w:p>
            <w:pPr>
              <w:keepNext/>
              <w:spacing w:after="0" w:line="269" w:lineRule="auto"/>
              <w:jc w:val="center"/>
            </w:pPr>
            <w:r>
              <w:rPr>
                <w:b/>
                <w:sz w:val="19"/>
              </w:rPr>
              <w:t>交互贡献</w:t>
            </w:r>
          </w:p>
        </w:tc>
        <w:tc>
          <w:tcPr>
            <w:tcW w:type="dxa" w:w="2154"/>
            <w:vAlign w:val="center"/>
            <w:shd w:fill="DFE8F0"/>
          </w:tcPr>
          <w:p>
            <w:pPr>
              <w:keepNext/>
              <w:spacing w:after="0" w:line="269" w:lineRule="auto"/>
              <w:jc w:val="center"/>
            </w:pPr>
            <w:r>
              <w:rPr>
                <w:b/>
                <w:sz w:val="19"/>
              </w:rPr>
              <w:t>合计</w:t>
            </w:r>
          </w:p>
        </w:tc>
      </w:tr>
      <w:tr>
        <w:trPr>
          <w:cantSplit/>
        </w:trPr>
        <w:tc>
          <w:tcPr>
            <w:tcW w:type="dxa" w:w="1191"/>
            <w:vAlign w:val="center"/>
            <w:shd w:fill="FFFFFF"/>
          </w:tcPr>
          <w:p>
            <w:pPr>
              <w:keepNext w:val="0"/>
              <w:spacing w:after="0" w:line="269" w:lineRule="auto"/>
              <w:jc w:val="center"/>
            </w:pPr>
            <w:r>
              <w:rPr>
                <w:b w:val="0"/>
                <w:sz w:val="19"/>
              </w:rPr>
              <w:t>甲</w:t>
            </w:r>
          </w:p>
        </w:tc>
        <w:tc>
          <w:tcPr>
            <w:tcW w:type="dxa" w:w="2041"/>
            <w:vAlign w:val="center"/>
            <w:shd w:fill="FFFFFF"/>
          </w:tcPr>
          <w:p>
            <w:pPr>
              <w:keepNext w:val="0"/>
              <w:spacing w:after="0" w:line="269" w:lineRule="auto"/>
              <w:jc w:val="center"/>
            </w:pPr>
            <w:r>
              <w:rPr>
                <w:b w:val="0"/>
                <w:sz w:val="19"/>
              </w:rPr>
              <w:t>0.30</w:t>
            </w:r>
          </w:p>
        </w:tc>
        <w:tc>
          <w:tcPr>
            <w:tcW w:type="dxa" w:w="2041"/>
            <w:vAlign w:val="center"/>
            <w:shd w:fill="FFFFFF"/>
          </w:tcPr>
          <w:p>
            <w:pPr>
              <w:keepNext w:val="0"/>
              <w:spacing w:after="0" w:line="269" w:lineRule="auto"/>
              <w:jc w:val="center"/>
            </w:pPr>
            <w:r>
              <w:rPr>
                <w:b w:val="0"/>
                <w:sz w:val="19"/>
              </w:rPr>
              <w:t>0.32</w:t>
            </w:r>
          </w:p>
        </w:tc>
        <w:tc>
          <w:tcPr>
            <w:tcW w:type="dxa" w:w="2041"/>
            <w:vAlign w:val="center"/>
            <w:shd w:fill="FFFFFF"/>
          </w:tcPr>
          <w:p>
            <w:pPr>
              <w:keepNext w:val="0"/>
              <w:spacing w:after="0" w:line="269" w:lineRule="auto"/>
              <w:jc w:val="center"/>
            </w:pPr>
            <w:r>
              <w:rPr>
                <w:b w:val="0"/>
                <w:sz w:val="19"/>
              </w:rPr>
              <w:t>0.08</w:t>
            </w:r>
          </w:p>
        </w:tc>
        <w:tc>
          <w:tcPr>
            <w:tcW w:type="dxa" w:w="2154"/>
            <w:vAlign w:val="center"/>
            <w:shd w:fill="FFFFFF"/>
          </w:tcPr>
          <w:p>
            <w:pPr>
              <w:keepNext w:val="0"/>
              <w:spacing w:after="0" w:line="269" w:lineRule="auto"/>
              <w:jc w:val="center"/>
            </w:pPr>
            <w:r>
              <w:rPr>
                <w:b w:val="0"/>
                <w:sz w:val="19"/>
              </w:rPr>
              <w:t>0.70</w:t>
            </w:r>
          </w:p>
        </w:tc>
      </w:tr>
      <w:tr>
        <w:trPr>
          <w:cantSplit/>
        </w:trPr>
        <w:tc>
          <w:tcPr>
            <w:tcW w:type="dxa" w:w="1191"/>
            <w:vAlign w:val="center"/>
            <w:shd w:fill="FFFFFF"/>
          </w:tcPr>
          <w:p>
            <w:pPr>
              <w:keepNext w:val="0"/>
              <w:spacing w:after="0" w:line="269" w:lineRule="auto"/>
              <w:jc w:val="center"/>
            </w:pPr>
            <w:r>
              <w:rPr>
                <w:b w:val="0"/>
                <w:sz w:val="19"/>
              </w:rPr>
              <w:t>乙</w:t>
            </w:r>
          </w:p>
        </w:tc>
        <w:tc>
          <w:tcPr>
            <w:tcW w:type="dxa" w:w="2041"/>
            <w:vAlign w:val="center"/>
            <w:shd w:fill="FFFFFF"/>
          </w:tcPr>
          <w:p>
            <w:pPr>
              <w:keepNext w:val="0"/>
              <w:spacing w:after="0" w:line="269" w:lineRule="auto"/>
              <w:jc w:val="center"/>
            </w:pPr>
            <w:r>
              <w:rPr>
                <w:b w:val="0"/>
                <w:sz w:val="19"/>
              </w:rPr>
              <w:t>−0.10</w:t>
            </w:r>
          </w:p>
        </w:tc>
        <w:tc>
          <w:tcPr>
            <w:tcW w:type="dxa" w:w="2041"/>
            <w:vAlign w:val="center"/>
            <w:shd w:fill="FFFFFF"/>
          </w:tcPr>
          <w:p>
            <w:pPr>
              <w:keepNext w:val="0"/>
              <w:spacing w:after="0" w:line="269" w:lineRule="auto"/>
              <w:jc w:val="center"/>
            </w:pPr>
            <w:r>
              <w:rPr>
                <w:b w:val="0"/>
                <w:sz w:val="19"/>
              </w:rPr>
              <w:t>0.00</w:t>
            </w:r>
          </w:p>
        </w:tc>
        <w:tc>
          <w:tcPr>
            <w:tcW w:type="dxa" w:w="2041"/>
            <w:vAlign w:val="center"/>
            <w:shd w:fill="FFFFFF"/>
          </w:tcPr>
          <w:p>
            <w:pPr>
              <w:keepNext w:val="0"/>
              <w:spacing w:after="0" w:line="269" w:lineRule="auto"/>
              <w:jc w:val="center"/>
            </w:pPr>
            <w:r>
              <w:rPr>
                <w:b w:val="0"/>
                <w:sz w:val="19"/>
              </w:rPr>
              <w:t>0.00</w:t>
            </w:r>
          </w:p>
        </w:tc>
        <w:tc>
          <w:tcPr>
            <w:tcW w:type="dxa" w:w="2154"/>
            <w:vAlign w:val="center"/>
            <w:shd w:fill="FFFFFF"/>
          </w:tcPr>
          <w:p>
            <w:pPr>
              <w:keepNext w:val="0"/>
              <w:spacing w:after="0" w:line="269" w:lineRule="auto"/>
              <w:jc w:val="center"/>
            </w:pPr>
            <w:r>
              <w:rPr>
                <w:b w:val="0"/>
                <w:sz w:val="19"/>
              </w:rPr>
              <w:t>−0.10</w:t>
            </w:r>
          </w:p>
        </w:tc>
      </w:tr>
      <w:tr>
        <w:trPr>
          <w:cantSplit/>
        </w:trPr>
        <w:tc>
          <w:tcPr>
            <w:tcW w:type="dxa" w:w="1191"/>
            <w:vAlign w:val="center"/>
            <w:shd w:fill="FFFFFF"/>
          </w:tcPr>
          <w:p>
            <w:pPr>
              <w:keepNext w:val="0"/>
              <w:spacing w:after="0" w:line="269" w:lineRule="auto"/>
              <w:jc w:val="center"/>
            </w:pPr>
            <w:r>
              <w:rPr>
                <w:b w:val="0"/>
                <w:sz w:val="19"/>
              </w:rPr>
              <w:t>丙</w:t>
            </w:r>
          </w:p>
        </w:tc>
        <w:tc>
          <w:tcPr>
            <w:tcW w:type="dxa" w:w="2041"/>
            <w:vAlign w:val="center"/>
            <w:shd w:fill="FFFFFF"/>
          </w:tcPr>
          <w:p>
            <w:pPr>
              <w:keepNext w:val="0"/>
              <w:spacing w:after="0" w:line="269" w:lineRule="auto"/>
              <w:jc w:val="center"/>
            </w:pPr>
            <w:r>
              <w:rPr>
                <w:b w:val="0"/>
                <w:sz w:val="19"/>
              </w:rPr>
              <w:t>0.00</w:t>
            </w:r>
          </w:p>
        </w:tc>
        <w:tc>
          <w:tcPr>
            <w:tcW w:type="dxa" w:w="2041"/>
            <w:vAlign w:val="center"/>
            <w:shd w:fill="FFFFFF"/>
          </w:tcPr>
          <w:p>
            <w:pPr>
              <w:keepNext w:val="0"/>
              <w:spacing w:after="0" w:line="269" w:lineRule="auto"/>
              <w:jc w:val="center"/>
            </w:pPr>
            <w:r>
              <w:rPr>
                <w:b w:val="0"/>
                <w:sz w:val="19"/>
              </w:rPr>
              <w:t>−0.10</w:t>
            </w:r>
          </w:p>
        </w:tc>
        <w:tc>
          <w:tcPr>
            <w:tcW w:type="dxa" w:w="2041"/>
            <w:vAlign w:val="center"/>
            <w:shd w:fill="FFFFFF"/>
          </w:tcPr>
          <w:p>
            <w:pPr>
              <w:keepNext w:val="0"/>
              <w:spacing w:after="0" w:line="269" w:lineRule="auto"/>
              <w:jc w:val="center"/>
            </w:pPr>
            <w:r>
              <w:rPr>
                <w:b w:val="0"/>
                <w:sz w:val="19"/>
              </w:rPr>
              <w:t>0.00</w:t>
            </w:r>
          </w:p>
        </w:tc>
        <w:tc>
          <w:tcPr>
            <w:tcW w:type="dxa" w:w="2154"/>
            <w:vAlign w:val="center"/>
            <w:shd w:fill="FFFFFF"/>
          </w:tcPr>
          <w:p>
            <w:pPr>
              <w:keepNext w:val="0"/>
              <w:spacing w:after="0" w:line="269" w:lineRule="auto"/>
              <w:jc w:val="center"/>
            </w:pPr>
            <w:r>
              <w:rPr>
                <w:b w:val="0"/>
                <w:sz w:val="19"/>
              </w:rPr>
              <w:t>−0.10</w:t>
            </w:r>
          </w:p>
        </w:tc>
      </w:tr>
      <w:tr>
        <w:trPr>
          <w:cantSplit/>
        </w:trPr>
        <w:tc>
          <w:tcPr>
            <w:tcW w:type="dxa" w:w="1191"/>
            <w:vAlign w:val="center"/>
            <w:shd w:fill="FFFFFF"/>
          </w:tcPr>
          <w:p>
            <w:pPr>
              <w:keepNext w:val="0"/>
              <w:spacing w:after="0" w:line="269" w:lineRule="auto"/>
              <w:jc w:val="center"/>
            </w:pPr>
            <w:r>
              <w:rPr>
                <w:b w:val="0"/>
                <w:sz w:val="19"/>
              </w:rPr>
              <w:t>总计</w:t>
            </w:r>
          </w:p>
        </w:tc>
        <w:tc>
          <w:tcPr>
            <w:tcW w:type="dxa" w:w="2041"/>
            <w:vAlign w:val="center"/>
            <w:shd w:fill="FFFFFF"/>
          </w:tcPr>
          <w:p>
            <w:pPr>
              <w:keepNext w:val="0"/>
              <w:spacing w:after="0" w:line="269" w:lineRule="auto"/>
              <w:jc w:val="center"/>
            </w:pPr>
            <w:r>
              <w:rPr>
                <w:b w:val="0"/>
                <w:sz w:val="19"/>
              </w:rPr>
              <w:t>0.20</w:t>
            </w:r>
          </w:p>
        </w:tc>
        <w:tc>
          <w:tcPr>
            <w:tcW w:type="dxa" w:w="2041"/>
            <w:vAlign w:val="center"/>
            <w:shd w:fill="FFFFFF"/>
          </w:tcPr>
          <w:p>
            <w:pPr>
              <w:keepNext w:val="0"/>
              <w:spacing w:after="0" w:line="269" w:lineRule="auto"/>
              <w:jc w:val="center"/>
            </w:pPr>
            <w:r>
              <w:rPr>
                <w:b w:val="0"/>
                <w:sz w:val="19"/>
              </w:rPr>
              <w:t>0.22</w:t>
            </w:r>
          </w:p>
        </w:tc>
        <w:tc>
          <w:tcPr>
            <w:tcW w:type="dxa" w:w="2041"/>
            <w:vAlign w:val="center"/>
            <w:shd w:fill="FFFFFF"/>
          </w:tcPr>
          <w:p>
            <w:pPr>
              <w:keepNext w:val="0"/>
              <w:spacing w:after="0" w:line="269" w:lineRule="auto"/>
              <w:jc w:val="center"/>
            </w:pPr>
            <w:r>
              <w:rPr>
                <w:b w:val="0"/>
                <w:sz w:val="19"/>
              </w:rPr>
              <w:t>0.08</w:t>
            </w:r>
          </w:p>
        </w:tc>
        <w:tc>
          <w:tcPr>
            <w:tcW w:type="dxa" w:w="2154"/>
            <w:vAlign w:val="center"/>
            <w:shd w:fill="FFFFFF"/>
          </w:tcPr>
          <w:p>
            <w:pPr>
              <w:keepNext w:val="0"/>
              <w:spacing w:after="0" w:line="269" w:lineRule="auto"/>
              <w:jc w:val="center"/>
            </w:pPr>
            <w:r>
              <w:rPr>
                <w:b w:val="0"/>
                <w:sz w:val="19"/>
              </w:rPr>
              <w:t>0.50</w:t>
            </w:r>
          </w:p>
        </w:tc>
      </w:tr>
    </w:tbl>
    <w:p>
      <w:pPr>
        <w:spacing w:after="0"/>
      </w:pPr>
    </w:p>
    <w:p>
      <w:pPr>
        <w:spacing w:line="276" w:lineRule="auto" w:after="100"/>
      </w:pPr>
      <w:r>
        <w:rPr>
          <w:color w:val="000000"/>
          <w:sz w:val="18"/>
        </w:rPr>
        <w:t>表中贡献单位均为百分点；行业收益与权重均为演示数据。</w:t>
      </w:r>
    </w:p>
    <w:p>
      <w:r>
        <w:rPr>
          <w:color w:val="000000"/>
        </w:rPr>
        <w:t>第二步，以甲行业为例：配置贡献为 (50% − 40%) × 3.0% = 0.30 个百分点；选择贡献为 40% × (3.8% − 3.0%) = 0.32 个百分点；交互贡献为 0.08 个百分点。</w:t>
      </w:r>
    </w:p>
    <w:p>
      <w:r>
        <w:rPr>
          <w:color w:val="000000"/>
        </w:rPr>
        <w:t>第三步，检查 0.20 + 0.22 + 0.08 = 0.50 个百分点，须与组合减基准完全对账。本例选择与配置均有正贡献，交互效应进一步增强收益，但一个月的结果不足以证明稳定能力。</w:t>
      </w:r>
    </w:p>
    <w:p>
      <w:r>
        <w:rPr>
          <w:color w:val="000000"/>
        </w:rPr>
        <w:t>执行时需使用与收益区间一致的期初权重或交易层归因。存在期内交易、费用和外部资金流时，应明确处理方法。跨期归因不能直接把各期贡献相加，应采用明确的多期链接方法并对账累计超额收益。</w:t>
      </w:r>
    </w:p>
    <w:p>
      <w:pPr>
        <w:pStyle w:val="Heading2"/>
        <w:pageBreakBefore/>
      </w:pPr>
      <w:r>
        <w:rPr>
          <w:color w:val="000000"/>
        </w:rPr>
        <w:t>3 多因子模型分离共同风险与剩余收益</w:t>
      </w:r>
    </w:p>
    <w:p>
      <w:r>
        <w:rPr>
          <w:color w:val="000000"/>
        </w:rPr>
        <w:t>多因子分析用于判断收益是否主要来自市场、规模、价值、动量等共同暴露。收益时间序列回归与 Barra 类持仓风险模型应区分使用：前者从历史收益估计 Beta 和截距，后者通常使用个券暴露、因子收益和特异收益进行组合层分解。</w:t>
      </w:r>
    </w:p>
    <w:p>
      <w:pPr>
        <w:keepLines/>
        <w:spacing w:before="60" w:after="140"/>
        <w:jc w:val="center"/>
      </w:pPr>
      <m:oMathPara>
        <m:oMath>
          <m:sSub>
            <m:e>
              <m:r>
                <w:rPr>
                  <w:rFonts w:ascii="Cambria Math" w:hAnsi="Cambria Math"/>
                  <w:sz w:val="22"/>
                </w:rPr>
                <m:t>r</m:t>
              </m:r>
            </m:e>
            <m:sub>
              <m:r>
                <w:rPr>
                  <w:rFonts w:ascii="Cambria Math" w:hAnsi="Cambria Math"/>
                  <w:sz w:val="22"/>
                </w:rPr>
                <m:t>p,t</m:t>
              </m:r>
            </m:sub>
          </m:sSub>
          <m:r>
            <w:rPr>
              <w:rFonts w:ascii="Cambria Math" w:hAnsi="Cambria Math"/>
              <w:sz w:val="22"/>
            </w:rPr>
            <m:t> − </m:t>
          </m:r>
          <m:sSub>
            <m:e>
              <m:r>
                <w:rPr>
                  <w:rFonts w:ascii="Cambria Math" w:hAnsi="Cambria Math"/>
                  <w:sz w:val="22"/>
                </w:rPr>
                <m:t>r</m:t>
              </m:r>
            </m:e>
            <m:sub>
              <m:r>
                <w:rPr>
                  <w:rFonts w:ascii="Cambria Math" w:hAnsi="Cambria Math"/>
                  <w:sz w:val="22"/>
                </w:rPr>
                <m:t>f,t</m:t>
              </m:r>
            </m:sub>
          </m:sSub>
          <m:r>
            <w:rPr>
              <w:rFonts w:ascii="Cambria Math" w:hAnsi="Cambria Math"/>
              <w:sz w:val="22"/>
            </w:rPr>
            <m:t> = α + β</m:t>
          </m:r>
          <m:sSub>
            <m:e>
              <m:r>
                <w:rPr>
                  <w:rFonts w:ascii="Cambria Math" w:hAnsi="Cambria Math"/>
                  <w:sz w:val="22"/>
                </w:rPr>
                <m:t>MKT</m:t>
              </m:r>
            </m:e>
            <m:sub>
              <m:r>
                <w:rPr>
                  <w:rFonts w:ascii="Cambria Math" w:hAnsi="Cambria Math"/>
                  <w:sz w:val="22"/>
                </w:rPr>
                <m:t>t</m:t>
              </m:r>
            </m:sub>
          </m:sSub>
          <m:r>
            <w:rPr>
              <w:rFonts w:ascii="Cambria Math" w:hAnsi="Cambria Math"/>
              <w:sz w:val="22"/>
            </w:rPr>
            <m:t> + s</m:t>
          </m:r>
          <m:sSub>
            <m:e>
              <m:r>
                <w:rPr>
                  <w:rFonts w:ascii="Cambria Math" w:hAnsi="Cambria Math"/>
                  <w:sz w:val="22"/>
                </w:rPr>
                <m:t>SMB</m:t>
              </m:r>
            </m:e>
            <m:sub>
              <m:r>
                <w:rPr>
                  <w:rFonts w:ascii="Cambria Math" w:hAnsi="Cambria Math"/>
                  <w:sz w:val="22"/>
                </w:rPr>
                <m:t>t</m:t>
              </m:r>
            </m:sub>
          </m:sSub>
          <m:r>
            <w:rPr>
              <w:rFonts w:ascii="Cambria Math" w:hAnsi="Cambria Math"/>
              <w:sz w:val="22"/>
            </w:rPr>
            <m:t> + h</m:t>
          </m:r>
          <m:sSub>
            <m:e>
              <m:r>
                <w:rPr>
                  <w:rFonts w:ascii="Cambria Math" w:hAnsi="Cambria Math"/>
                  <w:sz w:val="22"/>
                </w:rPr>
                <m:t>HML</m:t>
              </m:r>
            </m:e>
            <m:sub>
              <m:r>
                <w:rPr>
                  <w:rFonts w:ascii="Cambria Math" w:hAnsi="Cambria Math"/>
                  <w:sz w:val="22"/>
                </w:rPr>
                <m:t>t</m:t>
              </m:r>
            </m:sub>
          </m:sSub>
          <m:r>
            <w:rPr>
              <w:rFonts w:ascii="Cambria Math" w:hAnsi="Cambria Math"/>
              <w:sz w:val="22"/>
            </w:rPr>
            <m:t> + u</m:t>
          </m:r>
          <m:sSub>
            <m:e>
              <m:r>
                <w:rPr>
                  <w:rFonts w:ascii="Cambria Math" w:hAnsi="Cambria Math"/>
                  <w:sz w:val="22"/>
                </w:rPr>
                <m:t>UMD</m:t>
              </m:r>
            </m:e>
            <m:sub>
              <m:r>
                <w:rPr>
                  <w:rFonts w:ascii="Cambria Math" w:hAnsi="Cambria Math"/>
                  <w:sz w:val="22"/>
                </w:rPr>
                <m:t>t</m:t>
              </m:r>
            </m:sub>
          </m:sSub>
          <m:r>
            <w:rPr>
              <w:rFonts w:ascii="Cambria Math" w:hAnsi="Cambria Math"/>
              <w:sz w:val="22"/>
            </w:rPr>
            <m:t> + </m:t>
          </m:r>
          <m:sSub>
            <m:e>
              <m:r>
                <w:rPr>
                  <w:rFonts w:ascii="Cambria Math" w:hAnsi="Cambria Math"/>
                  <w:sz w:val="22"/>
                </w:rPr>
                <m:t>ε</m:t>
              </m:r>
            </m:e>
            <m:sub>
              <m:r>
                <w:rPr>
                  <w:rFonts w:ascii="Cambria Math" w:hAnsi="Cambria Math"/>
                  <w:sz w:val="22"/>
                </w:rPr>
                <m:t>t</m:t>
              </m:r>
            </m:sub>
          </m:sSub>
        </m:oMath>
      </m:oMathPara>
    </w:p>
    <w:p>
      <w:r>
        <w:rPr>
          <w:color w:val="000000"/>
        </w:rPr>
        <w:t>MKT 为市场超额收益，SMB 为小盘相对大盘因子，HML 为价值相对成长因子，UMD 为动量因子。计算时对齐同一市场、币种、日期与收益频率，估计系数和稳健标准误，检查残差及拟合优度，再比较不同窗口下的稳定性。因子定义和市场覆盖范围也须记录。[5]</w:t>
      </w:r>
    </w:p>
    <w:p>
      <w:pPr>
        <w:pStyle w:val="Heading2"/>
      </w:pPr>
      <w:r>
        <w:rPr>
          <w:color w:val="000000"/>
        </w:rPr>
        <w:t>原文四因子表的规范解读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324"/>
        <w:gridCol w:w="1786"/>
        <w:gridCol w:w="1786"/>
        <w:gridCol w:w="1786"/>
        <w:gridCol w:w="1786"/>
      </w:tblGrid>
      <w:tr>
        <w:trPr>
          <w:cantSplit/>
          <w:tblHeader/>
        </w:trPr>
        <w:tc>
          <w:tcPr>
            <w:tcW w:type="dxa" w:w="2324"/>
            <w:vAlign w:val="center"/>
            <w:shd w:fill="DFE8F0"/>
          </w:tcPr>
          <w:p>
            <w:pPr>
              <w:keepNext/>
              <w:spacing w:after="0" w:line="269" w:lineRule="auto"/>
              <w:jc w:val="center"/>
            </w:pPr>
            <w:r>
              <w:rPr>
                <w:b/>
                <w:sz w:val="19"/>
              </w:rPr>
              <w:t>系数及 t 值</w:t>
            </w:r>
          </w:p>
        </w:tc>
        <w:tc>
          <w:tcPr>
            <w:tcW w:type="dxa" w:w="1786"/>
            <w:vAlign w:val="center"/>
            <w:shd w:fill="DFE8F0"/>
          </w:tcPr>
          <w:p>
            <w:pPr>
              <w:keepNext/>
              <w:spacing w:after="0" w:line="269" w:lineRule="auto"/>
              <w:jc w:val="center"/>
            </w:pPr>
            <w:r>
              <w:rPr>
                <w:b/>
                <w:sz w:val="19"/>
              </w:rPr>
              <w:t>LSVEX</w:t>
            </w:r>
          </w:p>
        </w:tc>
        <w:tc>
          <w:tcPr>
            <w:tcW w:type="dxa" w:w="1786"/>
            <w:vAlign w:val="center"/>
            <w:shd w:fill="DFE8F0"/>
          </w:tcPr>
          <w:p>
            <w:pPr>
              <w:keepNext/>
              <w:spacing w:after="0" w:line="269" w:lineRule="auto"/>
              <w:jc w:val="center"/>
            </w:pPr>
            <w:r>
              <w:rPr>
                <w:b/>
                <w:sz w:val="19"/>
              </w:rPr>
              <w:t>FMAGX</w:t>
            </w:r>
          </w:p>
        </w:tc>
        <w:tc>
          <w:tcPr>
            <w:tcW w:type="dxa" w:w="1786"/>
            <w:vAlign w:val="center"/>
            <w:shd w:fill="DFE8F0"/>
          </w:tcPr>
          <w:p>
            <w:pPr>
              <w:keepNext/>
              <w:spacing w:after="0" w:line="269" w:lineRule="auto"/>
              <w:jc w:val="center"/>
            </w:pPr>
            <w:r>
              <w:rPr>
                <w:b/>
                <w:sz w:val="19"/>
              </w:rPr>
              <w:t>GSCGX</w:t>
            </w:r>
          </w:p>
        </w:tc>
        <w:tc>
          <w:tcPr>
            <w:tcW w:type="dxa" w:w="1786"/>
            <w:vAlign w:val="center"/>
            <w:shd w:fill="DFE8F0"/>
          </w:tcPr>
          <w:p>
            <w:pPr>
              <w:keepNext/>
              <w:spacing w:after="0" w:line="269" w:lineRule="auto"/>
              <w:jc w:val="center"/>
            </w:pPr>
            <w:r>
              <w:rPr>
                <w:b/>
                <w:sz w:val="19"/>
              </w:rPr>
              <w:t>BRK</w:t>
            </w:r>
          </w:p>
        </w:tc>
      </w:tr>
      <w:tr>
        <w:trPr>
          <w:cantSplit/>
        </w:trPr>
        <w:tc>
          <w:tcPr>
            <w:tcW w:type="dxa" w:w="2324"/>
            <w:vAlign w:val="center"/>
            <w:shd w:fill="FFFFFF"/>
          </w:tcPr>
          <w:p>
            <w:pPr>
              <w:keepNext w:val="0"/>
              <w:spacing w:after="0" w:line="269" w:lineRule="auto"/>
              <w:jc w:val="center"/>
            </w:pPr>
            <w:r>
              <w:rPr>
                <w:b w:val="0"/>
                <w:sz w:val="19"/>
              </w:rPr>
              <w:t>Alpha</w:t>
            </w:r>
          </w:p>
        </w:tc>
        <w:tc>
          <w:tcPr>
            <w:tcW w:type="dxa" w:w="1786"/>
            <w:vAlign w:val="center"/>
            <w:shd w:fill="FFFFFF"/>
          </w:tcPr>
          <w:p>
            <w:pPr>
              <w:keepNext w:val="0"/>
              <w:spacing w:after="0" w:line="269" w:lineRule="auto"/>
              <w:jc w:val="center"/>
            </w:pPr>
            <w:r>
              <w:rPr>
                <w:b w:val="0"/>
                <w:sz w:val="19"/>
              </w:rPr>
              <w:t>0.00%</w:t>
            </w:r>
          </w:p>
        </w:tc>
        <w:tc>
          <w:tcPr>
            <w:tcW w:type="dxa" w:w="1786"/>
            <w:vAlign w:val="center"/>
            <w:shd w:fill="FFFFFF"/>
          </w:tcPr>
          <w:p>
            <w:pPr>
              <w:keepNext w:val="0"/>
              <w:spacing w:after="0" w:line="269" w:lineRule="auto"/>
              <w:jc w:val="center"/>
            </w:pPr>
            <w:r>
              <w:rPr>
                <w:b w:val="0"/>
                <w:sz w:val="19"/>
              </w:rPr>
              <w:t>−0.27%</w:t>
            </w:r>
          </w:p>
        </w:tc>
        <w:tc>
          <w:tcPr>
            <w:tcW w:type="dxa" w:w="1786"/>
            <w:vAlign w:val="center"/>
            <w:shd w:fill="FFFFFF"/>
          </w:tcPr>
          <w:p>
            <w:pPr>
              <w:keepNext w:val="0"/>
              <w:spacing w:after="0" w:line="269" w:lineRule="auto"/>
              <w:jc w:val="center"/>
            </w:pPr>
            <w:r>
              <w:rPr>
                <w:b w:val="0"/>
                <w:sz w:val="19"/>
              </w:rPr>
              <w:t>−0.14%</w:t>
            </w:r>
          </w:p>
        </w:tc>
        <w:tc>
          <w:tcPr>
            <w:tcW w:type="dxa" w:w="1786"/>
            <w:vAlign w:val="center"/>
            <w:shd w:fill="FFFFFF"/>
          </w:tcPr>
          <w:p>
            <w:pPr>
              <w:keepNext w:val="0"/>
              <w:spacing w:after="0" w:line="269" w:lineRule="auto"/>
              <w:jc w:val="center"/>
            </w:pPr>
            <w:r>
              <w:rPr>
                <w:b w:val="0"/>
                <w:sz w:val="19"/>
              </w:rPr>
              <w:t>0.22%</w:t>
            </w:r>
          </w:p>
        </w:tc>
      </w:tr>
      <w:tr>
        <w:trPr>
          <w:cantSplit/>
        </w:trPr>
        <w:tc>
          <w:tcPr>
            <w:tcW w:type="dxa" w:w="2324"/>
            <w:vAlign w:val="center"/>
            <w:shd w:fill="FFFFFF"/>
          </w:tcPr>
          <w:p>
            <w:pPr>
              <w:keepNext w:val="0"/>
              <w:spacing w:after="0" w:line="269" w:lineRule="auto"/>
              <w:jc w:val="center"/>
            </w:pPr>
            <w:r>
              <w:rPr>
                <w:b w:val="0"/>
                <w:sz w:val="19"/>
              </w:rPr>
              <w:t>t Alpha</w:t>
            </w:r>
          </w:p>
        </w:tc>
        <w:tc>
          <w:tcPr>
            <w:tcW w:type="dxa" w:w="1786"/>
            <w:vAlign w:val="center"/>
            <w:shd w:fill="FFFFFF"/>
          </w:tcPr>
          <w:p>
            <w:pPr>
              <w:keepNext w:val="0"/>
              <w:spacing w:after="0" w:line="269" w:lineRule="auto"/>
              <w:jc w:val="center"/>
            </w:pPr>
            <w:r>
              <w:rPr>
                <w:b w:val="0"/>
                <w:sz w:val="19"/>
              </w:rPr>
              <w:t>0.01</w:t>
            </w:r>
          </w:p>
        </w:tc>
        <w:tc>
          <w:tcPr>
            <w:tcW w:type="dxa" w:w="1786"/>
            <w:vAlign w:val="center"/>
            <w:shd w:fill="FFFFFF"/>
          </w:tcPr>
          <w:p>
            <w:pPr>
              <w:keepNext w:val="0"/>
              <w:spacing w:after="0" w:line="269" w:lineRule="auto"/>
              <w:jc w:val="center"/>
            </w:pPr>
            <w:r>
              <w:rPr>
                <w:b w:val="0"/>
                <w:sz w:val="19"/>
              </w:rPr>
              <w:t>−2.23</w:t>
            </w:r>
          </w:p>
        </w:tc>
        <w:tc>
          <w:tcPr>
            <w:tcW w:type="dxa" w:w="1786"/>
            <w:vAlign w:val="center"/>
            <w:shd w:fill="FFFFFF"/>
          </w:tcPr>
          <w:p>
            <w:pPr>
              <w:keepNext w:val="0"/>
              <w:spacing w:after="0" w:line="269" w:lineRule="auto"/>
              <w:jc w:val="center"/>
            </w:pPr>
            <w:r>
              <w:rPr>
                <w:b w:val="0"/>
                <w:sz w:val="19"/>
              </w:rPr>
              <w:t>−1.33</w:t>
            </w:r>
          </w:p>
        </w:tc>
        <w:tc>
          <w:tcPr>
            <w:tcW w:type="dxa" w:w="1786"/>
            <w:vAlign w:val="center"/>
            <w:shd w:fill="FFFFFF"/>
          </w:tcPr>
          <w:p>
            <w:pPr>
              <w:keepNext w:val="0"/>
              <w:spacing w:after="0" w:line="269" w:lineRule="auto"/>
              <w:jc w:val="center"/>
            </w:pPr>
            <w:r>
              <w:rPr>
                <w:b w:val="0"/>
                <w:sz w:val="19"/>
              </w:rPr>
              <w:t>0.57</w:t>
            </w:r>
          </w:p>
        </w:tc>
      </w:tr>
      <w:tr>
        <w:trPr>
          <w:cantSplit/>
        </w:trPr>
        <w:tc>
          <w:tcPr>
            <w:tcW w:type="dxa" w:w="2324"/>
            <w:vAlign w:val="center"/>
            <w:shd w:fill="FFFFFF"/>
          </w:tcPr>
          <w:p>
            <w:pPr>
              <w:keepNext w:val="0"/>
              <w:spacing w:after="0" w:line="269" w:lineRule="auto"/>
              <w:jc w:val="center"/>
            </w:pPr>
            <w:r>
              <w:rPr>
                <w:b w:val="0"/>
                <w:sz w:val="19"/>
              </w:rPr>
              <w:t>MKT</w:t>
            </w:r>
          </w:p>
        </w:tc>
        <w:tc>
          <w:tcPr>
            <w:tcW w:type="dxa" w:w="1786"/>
            <w:vAlign w:val="center"/>
            <w:shd w:fill="FFFFFF"/>
          </w:tcPr>
          <w:p>
            <w:pPr>
              <w:keepNext w:val="0"/>
              <w:spacing w:after="0" w:line="269" w:lineRule="auto"/>
              <w:jc w:val="center"/>
            </w:pPr>
            <w:r>
              <w:rPr>
                <w:b w:val="0"/>
                <w:sz w:val="19"/>
              </w:rPr>
              <w:t>0.94</w:t>
            </w:r>
          </w:p>
        </w:tc>
        <w:tc>
          <w:tcPr>
            <w:tcW w:type="dxa" w:w="1786"/>
            <w:vAlign w:val="center"/>
            <w:shd w:fill="FFFFFF"/>
          </w:tcPr>
          <w:p>
            <w:pPr>
              <w:keepNext w:val="0"/>
              <w:spacing w:after="0" w:line="269" w:lineRule="auto"/>
              <w:jc w:val="center"/>
            </w:pPr>
            <w:r>
              <w:rPr>
                <w:b w:val="0"/>
                <w:sz w:val="19"/>
              </w:rPr>
              <w:t>1.12</w:t>
            </w:r>
          </w:p>
        </w:tc>
        <w:tc>
          <w:tcPr>
            <w:tcW w:type="dxa" w:w="1786"/>
            <w:vAlign w:val="center"/>
            <w:shd w:fill="FFFFFF"/>
          </w:tcPr>
          <w:p>
            <w:pPr>
              <w:keepNext w:val="0"/>
              <w:spacing w:after="0" w:line="269" w:lineRule="auto"/>
              <w:jc w:val="center"/>
            </w:pPr>
            <w:r>
              <w:rPr>
                <w:b w:val="0"/>
                <w:sz w:val="19"/>
              </w:rPr>
              <w:t>1.04</w:t>
            </w:r>
          </w:p>
        </w:tc>
        <w:tc>
          <w:tcPr>
            <w:tcW w:type="dxa" w:w="1786"/>
            <w:vAlign w:val="center"/>
            <w:shd w:fill="FFFFFF"/>
          </w:tcPr>
          <w:p>
            <w:pPr>
              <w:keepNext w:val="0"/>
              <w:spacing w:after="0" w:line="269" w:lineRule="auto"/>
              <w:jc w:val="center"/>
            </w:pPr>
            <w:r>
              <w:rPr>
                <w:b w:val="0"/>
                <w:sz w:val="19"/>
              </w:rPr>
              <w:t>0.36</w:t>
            </w:r>
          </w:p>
        </w:tc>
      </w:tr>
      <w:tr>
        <w:trPr>
          <w:cantSplit/>
        </w:trPr>
        <w:tc>
          <w:tcPr>
            <w:tcW w:type="dxa" w:w="2324"/>
            <w:vAlign w:val="center"/>
            <w:shd w:fill="FFFFFF"/>
          </w:tcPr>
          <w:p>
            <w:pPr>
              <w:keepNext w:val="0"/>
              <w:spacing w:after="0" w:line="269" w:lineRule="auto"/>
              <w:jc w:val="center"/>
            </w:pPr>
            <w:r>
              <w:rPr>
                <w:b w:val="0"/>
                <w:sz w:val="19"/>
              </w:rPr>
              <w:t>t MKT</w:t>
            </w:r>
          </w:p>
        </w:tc>
        <w:tc>
          <w:tcPr>
            <w:tcW w:type="dxa" w:w="1786"/>
            <w:vAlign w:val="center"/>
            <w:shd w:fill="FFFFFF"/>
          </w:tcPr>
          <w:p>
            <w:pPr>
              <w:keepNext w:val="0"/>
              <w:spacing w:after="0" w:line="269" w:lineRule="auto"/>
              <w:jc w:val="center"/>
            </w:pPr>
            <w:r>
              <w:rPr>
                <w:b w:val="0"/>
                <w:sz w:val="19"/>
              </w:rPr>
              <w:t>36.9</w:t>
            </w:r>
          </w:p>
        </w:tc>
        <w:tc>
          <w:tcPr>
            <w:tcW w:type="dxa" w:w="1786"/>
            <w:vAlign w:val="center"/>
            <w:shd w:fill="FFFFFF"/>
          </w:tcPr>
          <w:p>
            <w:pPr>
              <w:keepNext w:val="0"/>
              <w:spacing w:after="0" w:line="269" w:lineRule="auto"/>
              <w:jc w:val="center"/>
            </w:pPr>
            <w:r>
              <w:rPr>
                <w:b w:val="0"/>
                <w:sz w:val="19"/>
              </w:rPr>
              <w:t>38.6</w:t>
            </w:r>
          </w:p>
        </w:tc>
        <w:tc>
          <w:tcPr>
            <w:tcW w:type="dxa" w:w="1786"/>
            <w:vAlign w:val="center"/>
            <w:shd w:fill="FFFFFF"/>
          </w:tcPr>
          <w:p>
            <w:pPr>
              <w:keepNext w:val="0"/>
              <w:spacing w:after="0" w:line="269" w:lineRule="auto"/>
              <w:jc w:val="center"/>
            </w:pPr>
            <w:r>
              <w:rPr>
                <w:b w:val="0"/>
                <w:sz w:val="19"/>
              </w:rPr>
              <w:t>42.2</w:t>
            </w:r>
          </w:p>
        </w:tc>
        <w:tc>
          <w:tcPr>
            <w:tcW w:type="dxa" w:w="1786"/>
            <w:vAlign w:val="center"/>
            <w:shd w:fill="FFFFFF"/>
          </w:tcPr>
          <w:p>
            <w:pPr>
              <w:keepNext w:val="0"/>
              <w:spacing w:after="0" w:line="269" w:lineRule="auto"/>
              <w:jc w:val="center"/>
            </w:pPr>
            <w:r>
              <w:rPr>
                <w:b w:val="0"/>
                <w:sz w:val="19"/>
              </w:rPr>
              <w:t>3.77</w:t>
            </w:r>
          </w:p>
        </w:tc>
      </w:tr>
      <w:tr>
        <w:trPr>
          <w:cantSplit/>
        </w:trPr>
        <w:tc>
          <w:tcPr>
            <w:tcW w:type="dxa" w:w="2324"/>
            <w:vAlign w:val="center"/>
            <w:shd w:fill="FFFFFF"/>
          </w:tcPr>
          <w:p>
            <w:pPr>
              <w:keepNext w:val="0"/>
              <w:spacing w:after="0" w:line="269" w:lineRule="auto"/>
              <w:jc w:val="center"/>
            </w:pPr>
            <w:r>
              <w:rPr>
                <w:b w:val="0"/>
                <w:sz w:val="19"/>
              </w:rPr>
              <w:t>SMB</w:t>
            </w:r>
          </w:p>
        </w:tc>
        <w:tc>
          <w:tcPr>
            <w:tcW w:type="dxa" w:w="1786"/>
            <w:vAlign w:val="center"/>
            <w:shd w:fill="FFFFFF"/>
          </w:tcPr>
          <w:p>
            <w:pPr>
              <w:keepNext w:val="0"/>
              <w:spacing w:after="0" w:line="269" w:lineRule="auto"/>
              <w:jc w:val="center"/>
            </w:pPr>
            <w:r>
              <w:rPr>
                <w:b w:val="0"/>
                <w:sz w:val="19"/>
              </w:rPr>
              <w:t>0.01</w:t>
            </w:r>
          </w:p>
        </w:tc>
        <w:tc>
          <w:tcPr>
            <w:tcW w:type="dxa" w:w="1786"/>
            <w:vAlign w:val="center"/>
            <w:shd w:fill="FFFFFF"/>
          </w:tcPr>
          <w:p>
            <w:pPr>
              <w:keepNext w:val="0"/>
              <w:spacing w:after="0" w:line="269" w:lineRule="auto"/>
              <w:jc w:val="center"/>
            </w:pPr>
            <w:r>
              <w:rPr>
                <w:b w:val="0"/>
                <w:sz w:val="19"/>
              </w:rPr>
              <w:t>−0.07</w:t>
            </w:r>
          </w:p>
        </w:tc>
        <w:tc>
          <w:tcPr>
            <w:tcW w:type="dxa" w:w="1786"/>
            <w:vAlign w:val="center"/>
            <w:shd w:fill="FFFFFF"/>
          </w:tcPr>
          <w:p>
            <w:pPr>
              <w:keepNext w:val="0"/>
              <w:spacing w:after="0" w:line="269" w:lineRule="auto"/>
              <w:jc w:val="center"/>
            </w:pPr>
            <w:r>
              <w:rPr>
                <w:b w:val="0"/>
                <w:sz w:val="19"/>
              </w:rPr>
              <w:t>−0.12</w:t>
            </w:r>
          </w:p>
        </w:tc>
        <w:tc>
          <w:tcPr>
            <w:tcW w:type="dxa" w:w="1786"/>
            <w:vAlign w:val="center"/>
            <w:shd w:fill="FFFFFF"/>
          </w:tcPr>
          <w:p>
            <w:pPr>
              <w:keepNext w:val="0"/>
              <w:spacing w:after="0" w:line="269" w:lineRule="auto"/>
              <w:jc w:val="center"/>
            </w:pPr>
            <w:r>
              <w:rPr>
                <w:b w:val="0"/>
                <w:sz w:val="19"/>
              </w:rPr>
              <w:t>−0.15</w:t>
            </w:r>
          </w:p>
        </w:tc>
      </w:tr>
      <w:tr>
        <w:trPr>
          <w:cantSplit/>
        </w:trPr>
        <w:tc>
          <w:tcPr>
            <w:tcW w:type="dxa" w:w="2324"/>
            <w:vAlign w:val="center"/>
            <w:shd w:fill="FFFFFF"/>
          </w:tcPr>
          <w:p>
            <w:pPr>
              <w:keepNext w:val="0"/>
              <w:spacing w:after="0" w:line="269" w:lineRule="auto"/>
              <w:jc w:val="center"/>
            </w:pPr>
            <w:r>
              <w:rPr>
                <w:b w:val="0"/>
                <w:sz w:val="19"/>
              </w:rPr>
              <w:t>t SMB</w:t>
            </w:r>
          </w:p>
        </w:tc>
        <w:tc>
          <w:tcPr>
            <w:tcW w:type="dxa" w:w="1786"/>
            <w:vAlign w:val="center"/>
            <w:shd w:fill="FFFFFF"/>
          </w:tcPr>
          <w:p>
            <w:pPr>
              <w:keepNext w:val="0"/>
              <w:spacing w:after="0" w:line="269" w:lineRule="auto"/>
              <w:jc w:val="center"/>
            </w:pPr>
            <w:r>
              <w:rPr>
                <w:b w:val="0"/>
                <w:sz w:val="19"/>
              </w:rPr>
              <w:t>0.21</w:t>
            </w:r>
          </w:p>
        </w:tc>
        <w:tc>
          <w:tcPr>
            <w:tcW w:type="dxa" w:w="1786"/>
            <w:vAlign w:val="center"/>
            <w:shd w:fill="FFFFFF"/>
          </w:tcPr>
          <w:p>
            <w:pPr>
              <w:keepNext w:val="0"/>
              <w:spacing w:after="0" w:line="269" w:lineRule="auto"/>
              <w:jc w:val="center"/>
            </w:pPr>
            <w:r>
              <w:rPr>
                <w:b w:val="0"/>
                <w:sz w:val="19"/>
              </w:rPr>
              <w:t>−1.44</w:t>
            </w:r>
          </w:p>
        </w:tc>
        <w:tc>
          <w:tcPr>
            <w:tcW w:type="dxa" w:w="1786"/>
            <w:vAlign w:val="center"/>
            <w:shd w:fill="FFFFFF"/>
          </w:tcPr>
          <w:p>
            <w:pPr>
              <w:keepNext w:val="0"/>
              <w:spacing w:after="0" w:line="269" w:lineRule="auto"/>
              <w:jc w:val="center"/>
            </w:pPr>
            <w:r>
              <w:rPr>
                <w:b w:val="0"/>
                <w:sz w:val="19"/>
              </w:rPr>
              <w:t>−3.05</w:t>
            </w:r>
          </w:p>
        </w:tc>
        <w:tc>
          <w:tcPr>
            <w:tcW w:type="dxa" w:w="1786"/>
            <w:vAlign w:val="center"/>
            <w:shd w:fill="FFFFFF"/>
          </w:tcPr>
          <w:p>
            <w:pPr>
              <w:keepNext w:val="0"/>
              <w:spacing w:after="0" w:line="269" w:lineRule="auto"/>
              <w:jc w:val="center"/>
            </w:pPr>
            <w:r>
              <w:rPr>
                <w:b w:val="0"/>
                <w:sz w:val="19"/>
              </w:rPr>
              <w:t>−0.97</w:t>
            </w:r>
          </w:p>
        </w:tc>
      </w:tr>
      <w:tr>
        <w:trPr>
          <w:cantSplit/>
        </w:trPr>
        <w:tc>
          <w:tcPr>
            <w:tcW w:type="dxa" w:w="2324"/>
            <w:vAlign w:val="center"/>
            <w:shd w:fill="FFFFFF"/>
          </w:tcPr>
          <w:p>
            <w:pPr>
              <w:keepNext w:val="0"/>
              <w:spacing w:after="0" w:line="269" w:lineRule="auto"/>
              <w:jc w:val="center"/>
            </w:pPr>
            <w:r>
              <w:rPr>
                <w:b w:val="0"/>
                <w:sz w:val="19"/>
              </w:rPr>
              <w:t>HML</w:t>
            </w:r>
          </w:p>
        </w:tc>
        <w:tc>
          <w:tcPr>
            <w:tcW w:type="dxa" w:w="1786"/>
            <w:vAlign w:val="center"/>
            <w:shd w:fill="FFFFFF"/>
          </w:tcPr>
          <w:p>
            <w:pPr>
              <w:keepNext w:val="0"/>
              <w:spacing w:after="0" w:line="269" w:lineRule="auto"/>
              <w:jc w:val="center"/>
            </w:pPr>
            <w:r>
              <w:rPr>
                <w:b w:val="0"/>
                <w:sz w:val="19"/>
              </w:rPr>
              <w:t>0.51</w:t>
            </w:r>
          </w:p>
        </w:tc>
        <w:tc>
          <w:tcPr>
            <w:tcW w:type="dxa" w:w="1786"/>
            <w:vAlign w:val="center"/>
            <w:shd w:fill="FFFFFF"/>
          </w:tcPr>
          <w:p>
            <w:pPr>
              <w:keepNext w:val="0"/>
              <w:spacing w:after="0" w:line="269" w:lineRule="auto"/>
              <w:jc w:val="center"/>
            </w:pPr>
            <w:r>
              <w:rPr>
                <w:b w:val="0"/>
                <w:sz w:val="19"/>
              </w:rPr>
              <w:t>−0.05</w:t>
            </w:r>
          </w:p>
        </w:tc>
        <w:tc>
          <w:tcPr>
            <w:tcW w:type="dxa" w:w="1786"/>
            <w:vAlign w:val="center"/>
            <w:shd w:fill="FFFFFF"/>
          </w:tcPr>
          <w:p>
            <w:pPr>
              <w:keepNext w:val="0"/>
              <w:spacing w:after="0" w:line="269" w:lineRule="auto"/>
              <w:jc w:val="center"/>
            </w:pPr>
            <w:r>
              <w:rPr>
                <w:b w:val="0"/>
                <w:sz w:val="19"/>
              </w:rPr>
              <w:t>−0.17</w:t>
            </w:r>
          </w:p>
        </w:tc>
        <w:tc>
          <w:tcPr>
            <w:tcW w:type="dxa" w:w="1786"/>
            <w:vAlign w:val="center"/>
            <w:shd w:fill="FFFFFF"/>
          </w:tcPr>
          <w:p>
            <w:pPr>
              <w:keepNext w:val="0"/>
              <w:spacing w:after="0" w:line="269" w:lineRule="auto"/>
              <w:jc w:val="center"/>
            </w:pPr>
            <w:r>
              <w:rPr>
                <w:b w:val="0"/>
                <w:sz w:val="19"/>
              </w:rPr>
              <w:t>0.34</w:t>
            </w:r>
          </w:p>
        </w:tc>
      </w:tr>
      <w:tr>
        <w:trPr>
          <w:cantSplit/>
        </w:trPr>
        <w:tc>
          <w:tcPr>
            <w:tcW w:type="dxa" w:w="2324"/>
            <w:vAlign w:val="center"/>
            <w:shd w:fill="FFFFFF"/>
          </w:tcPr>
          <w:p>
            <w:pPr>
              <w:keepNext w:val="0"/>
              <w:spacing w:after="0" w:line="269" w:lineRule="auto"/>
              <w:jc w:val="center"/>
            </w:pPr>
            <w:r>
              <w:rPr>
                <w:b w:val="0"/>
                <w:sz w:val="19"/>
              </w:rPr>
              <w:t>t HML</w:t>
            </w:r>
          </w:p>
        </w:tc>
        <w:tc>
          <w:tcPr>
            <w:tcW w:type="dxa" w:w="1786"/>
            <w:vAlign w:val="center"/>
            <w:shd w:fill="FFFFFF"/>
          </w:tcPr>
          <w:p>
            <w:pPr>
              <w:keepNext w:val="0"/>
              <w:spacing w:after="0" w:line="269" w:lineRule="auto"/>
              <w:jc w:val="center"/>
            </w:pPr>
            <w:r>
              <w:rPr>
                <w:b w:val="0"/>
                <w:sz w:val="19"/>
              </w:rPr>
              <w:t>14.6</w:t>
            </w:r>
          </w:p>
        </w:tc>
        <w:tc>
          <w:tcPr>
            <w:tcW w:type="dxa" w:w="1786"/>
            <w:vAlign w:val="center"/>
            <w:shd w:fill="FFFFFF"/>
          </w:tcPr>
          <w:p>
            <w:pPr>
              <w:keepNext w:val="0"/>
              <w:spacing w:after="0" w:line="269" w:lineRule="auto"/>
              <w:jc w:val="center"/>
            </w:pPr>
            <w:r>
              <w:rPr>
                <w:b w:val="0"/>
                <w:sz w:val="19"/>
              </w:rPr>
              <w:t>−1.36</w:t>
            </w:r>
          </w:p>
        </w:tc>
        <w:tc>
          <w:tcPr>
            <w:tcW w:type="dxa" w:w="1786"/>
            <w:vAlign w:val="center"/>
            <w:shd w:fill="FFFFFF"/>
          </w:tcPr>
          <w:p>
            <w:pPr>
              <w:keepNext w:val="0"/>
              <w:spacing w:after="0" w:line="269" w:lineRule="auto"/>
              <w:jc w:val="center"/>
            </w:pPr>
            <w:r>
              <w:rPr>
                <w:b w:val="0"/>
                <w:sz w:val="19"/>
              </w:rPr>
              <w:t>−4.95</w:t>
            </w:r>
          </w:p>
        </w:tc>
        <w:tc>
          <w:tcPr>
            <w:tcW w:type="dxa" w:w="1786"/>
            <w:vAlign w:val="center"/>
            <w:shd w:fill="FFFFFF"/>
          </w:tcPr>
          <w:p>
            <w:pPr>
              <w:keepNext w:val="0"/>
              <w:spacing w:after="0" w:line="269" w:lineRule="auto"/>
              <w:jc w:val="center"/>
            </w:pPr>
            <w:r>
              <w:rPr>
                <w:b w:val="0"/>
                <w:sz w:val="19"/>
              </w:rPr>
              <w:t>2.57</w:t>
            </w:r>
          </w:p>
        </w:tc>
      </w:tr>
      <w:tr>
        <w:trPr>
          <w:cantSplit/>
        </w:trPr>
        <w:tc>
          <w:tcPr>
            <w:tcW w:type="dxa" w:w="2324"/>
            <w:vAlign w:val="center"/>
            <w:shd w:fill="FFFFFF"/>
          </w:tcPr>
          <w:p>
            <w:pPr>
              <w:keepNext w:val="0"/>
              <w:spacing w:after="0" w:line="269" w:lineRule="auto"/>
              <w:jc w:val="center"/>
            </w:pPr>
            <w:r>
              <w:rPr>
                <w:b w:val="0"/>
                <w:sz w:val="19"/>
              </w:rPr>
              <w:t>UMD</w:t>
            </w:r>
          </w:p>
        </w:tc>
        <w:tc>
          <w:tcPr>
            <w:tcW w:type="dxa" w:w="1786"/>
            <w:vAlign w:val="center"/>
            <w:shd w:fill="FFFFFF"/>
          </w:tcPr>
          <w:p>
            <w:pPr>
              <w:keepNext w:val="0"/>
              <w:spacing w:after="0" w:line="269" w:lineRule="auto"/>
              <w:jc w:val="center"/>
            </w:pPr>
            <w:r>
              <w:rPr>
                <w:b w:val="0"/>
                <w:sz w:val="19"/>
              </w:rPr>
              <w:t>0.20</w:t>
            </w:r>
          </w:p>
        </w:tc>
        <w:tc>
          <w:tcPr>
            <w:tcW w:type="dxa" w:w="1786"/>
            <w:vAlign w:val="center"/>
            <w:shd w:fill="FFFFFF"/>
          </w:tcPr>
          <w:p>
            <w:pPr>
              <w:keepNext w:val="0"/>
              <w:spacing w:after="0" w:line="269" w:lineRule="auto"/>
              <w:jc w:val="center"/>
            </w:pPr>
            <w:r>
              <w:rPr>
                <w:b w:val="0"/>
                <w:sz w:val="19"/>
              </w:rPr>
              <w:t>0.02</w:t>
            </w:r>
          </w:p>
        </w:tc>
        <w:tc>
          <w:tcPr>
            <w:tcW w:type="dxa" w:w="1786"/>
            <w:vAlign w:val="center"/>
            <w:shd w:fill="FFFFFF"/>
          </w:tcPr>
          <w:p>
            <w:pPr>
              <w:keepNext w:val="0"/>
              <w:spacing w:after="0" w:line="269" w:lineRule="auto"/>
              <w:jc w:val="center"/>
            </w:pPr>
            <w:r>
              <w:rPr>
                <w:b w:val="0"/>
                <w:sz w:val="19"/>
              </w:rPr>
              <w:t>0.00</w:t>
            </w:r>
          </w:p>
        </w:tc>
        <w:tc>
          <w:tcPr>
            <w:tcW w:type="dxa" w:w="1786"/>
            <w:vAlign w:val="center"/>
            <w:shd w:fill="FFFFFF"/>
          </w:tcPr>
          <w:p>
            <w:pPr>
              <w:keepNext w:val="0"/>
              <w:spacing w:after="0" w:line="269" w:lineRule="auto"/>
              <w:jc w:val="center"/>
            </w:pPr>
            <w:r>
              <w:rPr>
                <w:b w:val="0"/>
                <w:sz w:val="19"/>
              </w:rPr>
              <w:t>−0.06</w:t>
            </w:r>
          </w:p>
        </w:tc>
      </w:tr>
      <w:tr>
        <w:trPr>
          <w:cantSplit/>
        </w:trPr>
        <w:tc>
          <w:tcPr>
            <w:tcW w:type="dxa" w:w="2324"/>
            <w:vAlign w:val="center"/>
            <w:shd w:fill="FFFFFF"/>
          </w:tcPr>
          <w:p>
            <w:pPr>
              <w:keepNext w:val="0"/>
              <w:spacing w:after="0" w:line="269" w:lineRule="auto"/>
              <w:jc w:val="center"/>
            </w:pPr>
            <w:r>
              <w:rPr>
                <w:b w:val="0"/>
                <w:sz w:val="19"/>
              </w:rPr>
              <w:t>t UMD</w:t>
            </w:r>
          </w:p>
        </w:tc>
        <w:tc>
          <w:tcPr>
            <w:tcW w:type="dxa" w:w="1786"/>
            <w:vAlign w:val="center"/>
            <w:shd w:fill="FFFFFF"/>
          </w:tcPr>
          <w:p>
            <w:pPr>
              <w:keepNext w:val="0"/>
              <w:spacing w:after="0" w:line="269" w:lineRule="auto"/>
              <w:jc w:val="center"/>
            </w:pPr>
            <w:r>
              <w:rPr>
                <w:b w:val="0"/>
                <w:sz w:val="19"/>
              </w:rPr>
              <w:t>1.07</w:t>
            </w:r>
          </w:p>
        </w:tc>
        <w:tc>
          <w:tcPr>
            <w:tcW w:type="dxa" w:w="1786"/>
            <w:vAlign w:val="center"/>
            <w:shd w:fill="FFFFFF"/>
          </w:tcPr>
          <w:p>
            <w:pPr>
              <w:keepNext w:val="0"/>
              <w:spacing w:after="0" w:line="269" w:lineRule="auto"/>
              <w:jc w:val="center"/>
            </w:pPr>
            <w:r>
              <w:rPr>
                <w:b w:val="0"/>
                <w:sz w:val="19"/>
              </w:rPr>
              <w:t>1.00</w:t>
            </w:r>
          </w:p>
        </w:tc>
        <w:tc>
          <w:tcPr>
            <w:tcW w:type="dxa" w:w="1786"/>
            <w:vAlign w:val="center"/>
            <w:shd w:fill="FFFFFF"/>
          </w:tcPr>
          <w:p>
            <w:pPr>
              <w:keepNext w:val="0"/>
              <w:spacing w:after="0" w:line="269" w:lineRule="auto"/>
              <w:jc w:val="center"/>
            </w:pPr>
            <w:r>
              <w:rPr>
                <w:b w:val="0"/>
                <w:sz w:val="19"/>
              </w:rPr>
              <w:t>−0.17</w:t>
            </w:r>
          </w:p>
        </w:tc>
        <w:tc>
          <w:tcPr>
            <w:tcW w:type="dxa" w:w="1786"/>
            <w:vAlign w:val="center"/>
            <w:shd w:fill="FFFFFF"/>
          </w:tcPr>
          <w:p>
            <w:pPr>
              <w:keepNext w:val="0"/>
              <w:spacing w:after="0" w:line="269" w:lineRule="auto"/>
              <w:jc w:val="center"/>
            </w:pPr>
            <w:r>
              <w:rPr>
                <w:b w:val="0"/>
                <w:sz w:val="19"/>
              </w:rPr>
              <w:t>−0.77</w:t>
            </w:r>
          </w:p>
        </w:tc>
      </w:tr>
    </w:tbl>
    <w:p>
      <w:pPr>
        <w:spacing w:after="0"/>
      </w:pPr>
    </w:p>
    <w:p>
      <w:pPr>
        <w:spacing w:line="276" w:lineRule="auto" w:after="100"/>
      </w:pPr>
      <w:r>
        <w:rPr>
          <w:color w:val="000000"/>
          <w:sz w:val="18"/>
        </w:rPr>
        <w:t>以上数值转录自原文图表。回归样本、Alpha 频率、费用及标准误口径未标明，因此保留原始单位，不将 Alpha 年化，也不作为当前基金绩效结论。</w:t>
      </w:r>
    </w:p>
    <w:p>
      <w:r>
        <w:rPr>
          <w:color w:val="000000"/>
        </w:rPr>
        <w:t>LSVEX 的 HML 系数为 0.51，t 值为 14.6，支持该样本下存在较明显的价值暴露。GSCGX 的 HML 和 SMB 均为负且 t 值绝对值较大，提示偏成长、偏大盘的收益特征。</w:t>
      </w:r>
    </w:p>
    <w:p>
      <w:r>
        <w:rPr>
          <w:color w:val="000000"/>
        </w:rPr>
        <w:t>FMAGX 的 Alpha 为负，t 值为 −2.23，在通常的大样本双侧检验口径下提供负截距的初步证据；其余三个 Alpha 的 t 值不足以支持显著偏离零。仍需补充样本信息、稳健标准误和多重检验处理。</w:t>
      </w:r>
    </w:p>
    <w:p>
      <w:r>
        <w:rPr>
          <w:color w:val="000000"/>
        </w:rPr>
        <w:t>市场 Beta 高于 1 表示市场敏感度较高，不能单凭这一点认定使用杠杆；BRK 的市场 Beta 为 0.36 且 t 值为 3.77，也不能解释为“与市场无关”。因子未解释部分可能包含遗漏风险、估值误差或特殊事件，应避免全部归为真实选股能力。</w:t>
      </w:r>
    </w:p>
    <w:p>
      <w:pPr>
        <w:pStyle w:val="Heading2"/>
        <w:pageBreakBefore/>
      </w:pPr>
      <w:r>
        <w:rPr>
          <w:color w:val="000000"/>
        </w:rPr>
        <w:t>4 Campisi 思路拆分固定收益贡献</w:t>
      </w:r>
    </w:p>
    <w:p>
      <w:r>
        <w:rPr>
          <w:color w:val="000000"/>
        </w:rPr>
        <w:t>固收归因应将总收益分为收入、无风险利率变化、信用利差变化与个券剩余贡献。Campisi 类框架适用于检视票息、久期和信用配置，但不同实现对曲线、滚降和凸性的分配不同，应先固定归因规则。</w:t>
      </w:r>
    </w:p>
    <w:p>
      <w:pPr>
        <w:keepLines/>
        <w:spacing w:before="60" w:after="140"/>
        <w:jc w:val="center"/>
      </w:pPr>
      <m:oMathPara>
        <m:oMath>
          <m:sSub>
            <m:e>
              <m:r>
                <w:rPr>
                  <w:rFonts w:ascii="Cambria Math" w:hAnsi="Cambria Math"/>
                  <w:sz w:val="22"/>
                </w:rPr>
                <m:t>R</m:t>
              </m:r>
            </m:e>
            <m:sub>
              <m:r>
                <w:rPr>
                  <w:rFonts w:ascii="Cambria Math" w:hAnsi="Cambria Math"/>
                  <w:sz w:val="22"/>
                </w:rPr>
                <m:t>bond</m:t>
              </m:r>
            </m:sub>
          </m:sSub>
          <m:r>
            <w:rPr>
              <w:rFonts w:ascii="Cambria Math" w:hAnsi="Cambria Math"/>
              <w:sz w:val="22"/>
            </w:rPr>
            <m:t> ≈ </m:t>
          </m:r>
          <m:sSub>
            <m:e>
              <m:r>
                <w:rPr>
                  <w:rFonts w:ascii="Cambria Math" w:hAnsi="Cambria Math"/>
                  <w:sz w:val="22"/>
                </w:rPr>
                <m:t>R</m:t>
              </m:r>
            </m:e>
            <m:sub>
              <m:r>
                <w:rPr>
                  <w:rFonts w:ascii="Cambria Math" w:hAnsi="Cambria Math"/>
                  <w:sz w:val="22"/>
                </w:rPr>
                <m:t>income</m:t>
              </m:r>
            </m:sub>
          </m:sSub>
          <m:r>
            <w:rPr>
              <w:rFonts w:ascii="Cambria Math" w:hAnsi="Cambria Math"/>
              <w:sz w:val="22"/>
            </w:rPr>
            <m:t> + </m:t>
          </m:r>
          <m:sSub>
            <m:e>
              <m:r>
                <w:rPr>
                  <w:rFonts w:ascii="Cambria Math" w:hAnsi="Cambria Math"/>
                  <w:sz w:val="22"/>
                </w:rPr>
                <m:t>R</m:t>
              </m:r>
            </m:e>
            <m:sub>
              <m:r>
                <w:rPr>
                  <w:rFonts w:ascii="Cambria Math" w:hAnsi="Cambria Math"/>
                  <w:sz w:val="22"/>
                </w:rPr>
                <m:t>rate</m:t>
              </m:r>
            </m:sub>
          </m:sSub>
          <m:r>
            <w:rPr>
              <w:rFonts w:ascii="Cambria Math" w:hAnsi="Cambria Math"/>
              <w:sz w:val="22"/>
            </w:rPr>
            <m:t> + </m:t>
          </m:r>
          <m:sSub>
            <m:e>
              <m:r>
                <w:rPr>
                  <w:rFonts w:ascii="Cambria Math" w:hAnsi="Cambria Math"/>
                  <w:sz w:val="22"/>
                </w:rPr>
                <m:t>R</m:t>
              </m:r>
            </m:e>
            <m:sub>
              <m:r>
                <w:rPr>
                  <w:rFonts w:ascii="Cambria Math" w:hAnsi="Cambria Math"/>
                  <w:sz w:val="22"/>
                </w:rPr>
                <m:t>spread</m:t>
              </m:r>
            </m:sub>
          </m:sSub>
          <m:r>
            <w:rPr>
              <w:rFonts w:ascii="Cambria Math" w:hAnsi="Cambria Math"/>
              <w:sz w:val="22"/>
            </w:rPr>
            <m:t> + </m:t>
          </m:r>
          <m:sSub>
            <m:e>
              <m:r>
                <w:rPr>
                  <w:rFonts w:ascii="Cambria Math" w:hAnsi="Cambria Math"/>
                  <w:sz w:val="22"/>
                </w:rPr>
                <m:t>R</m:t>
              </m:r>
            </m:e>
            <m:sub>
              <m:r>
                <w:rPr>
                  <w:rFonts w:ascii="Cambria Math" w:hAnsi="Cambria Math"/>
                  <w:sz w:val="22"/>
                </w:rPr>
                <m:t>specific</m:t>
              </m:r>
            </m:sub>
          </m:sSub>
        </m:oMath>
      </m:oMathPara>
    </w:p>
    <w:p>
      <w:pPr>
        <w:keepLines/>
        <w:spacing w:before="60" w:after="140"/>
        <w:jc w:val="center"/>
      </w:pPr>
      <m:oMathPara>
        <m:oMath>
          <m:sSub>
            <m:e>
              <m:r>
                <w:rPr>
                  <w:rFonts w:ascii="Cambria Math" w:hAnsi="Cambria Math"/>
                  <w:sz w:val="22"/>
                </w:rPr>
                <m:t>R</m:t>
              </m:r>
            </m:e>
            <m:sub>
              <m:r>
                <w:rPr>
                  <w:rFonts w:ascii="Cambria Math" w:hAnsi="Cambria Math"/>
                  <w:sz w:val="22"/>
                </w:rPr>
                <m:t>rate</m:t>
              </m:r>
            </m:sub>
          </m:sSub>
          <m:r>
            <w:rPr>
              <w:rFonts w:ascii="Cambria Math" w:hAnsi="Cambria Math"/>
              <w:sz w:val="22"/>
            </w:rPr>
            <m:t> ≈ −</m:t>
          </m:r>
          <m:sSub>
            <m:e>
              <m:r>
                <w:rPr>
                  <w:rFonts w:ascii="Cambria Math" w:hAnsi="Cambria Math"/>
                  <w:sz w:val="22"/>
                </w:rPr>
                <m:t>D</m:t>
              </m:r>
            </m:e>
            <m:sub>
              <m:r>
                <w:rPr>
                  <w:rFonts w:ascii="Cambria Math" w:hAnsi="Cambria Math"/>
                  <w:sz w:val="22"/>
                </w:rPr>
                <m:t>rate</m:t>
              </m:r>
            </m:sub>
          </m:sSub>
          <m:r>
            <w:rPr>
              <w:rFonts w:ascii="Cambria Math" w:hAnsi="Cambria Math"/>
              <w:sz w:val="22"/>
            </w:rPr>
            <m:t>Δy + </m:t>
          </m:r>
          <m:f>
            <m:num>
              <m:r>
                <w:rPr>
                  <w:rFonts w:ascii="Cambria Math" w:hAnsi="Cambria Math"/>
                  <w:sz w:val="22"/>
                </w:rPr>
                <m:t>1</m:t>
              </m:r>
            </m:num>
            <m:den>
              <m:r>
                <w:rPr>
                  <w:rFonts w:ascii="Cambria Math" w:hAnsi="Cambria Math"/>
                  <w:sz w:val="22"/>
                </w:rPr>
                <m:t>2</m:t>
              </m:r>
            </m:den>
          </m:f>
          <m:sSub>
            <m:e>
              <m:r>
                <w:rPr>
                  <w:rFonts w:ascii="Cambria Math" w:hAnsi="Cambria Math"/>
                  <w:sz w:val="22"/>
                </w:rPr>
                <m:t>C</m:t>
              </m:r>
            </m:e>
            <m:sub>
              <m:r>
                <w:rPr>
                  <w:rFonts w:ascii="Cambria Math" w:hAnsi="Cambria Math"/>
                  <w:sz w:val="22"/>
                </w:rPr>
                <m:t>rate</m:t>
              </m:r>
            </m:sub>
          </m:sSub>
          <m:sSup>
            <m:e>
              <m:r>
                <w:rPr>
                  <w:rFonts w:ascii="Cambria Math" w:hAnsi="Cambria Math"/>
                  <w:sz w:val="22"/>
                </w:rPr>
                <m:t>(Δy)</m:t>
              </m:r>
            </m:e>
            <m:sup>
              <m:r>
                <w:rPr>
                  <w:rFonts w:ascii="Cambria Math" w:hAnsi="Cambria Math"/>
                  <w:sz w:val="22"/>
                </w:rPr>
                <m:t>2</m:t>
              </m:r>
            </m:sup>
          </m:sSup>
          <m:r>
            <w:rPr>
              <w:rFonts w:ascii="Cambria Math" w:hAnsi="Cambria Math"/>
              <w:sz w:val="22"/>
            </w:rPr>
            <m:t>;    </m:t>
          </m:r>
          <m:sSub>
            <m:e>
              <m:r>
                <w:rPr>
                  <w:rFonts w:ascii="Cambria Math" w:hAnsi="Cambria Math"/>
                  <w:sz w:val="22"/>
                </w:rPr>
                <m:t>R</m:t>
              </m:r>
            </m:e>
            <m:sub>
              <m:r>
                <w:rPr>
                  <w:rFonts w:ascii="Cambria Math" w:hAnsi="Cambria Math"/>
                  <w:sz w:val="22"/>
                </w:rPr>
                <m:t>spread</m:t>
              </m:r>
            </m:sub>
          </m:sSub>
          <m:r>
            <w:rPr>
              <w:rFonts w:ascii="Cambria Math" w:hAnsi="Cambria Math"/>
              <w:sz w:val="22"/>
            </w:rPr>
            <m:t> ≈ −</m:t>
          </m:r>
          <m:sSub>
            <m:e>
              <m:r>
                <w:rPr>
                  <w:rFonts w:ascii="Cambria Math" w:hAnsi="Cambria Math"/>
                  <w:sz w:val="22"/>
                </w:rPr>
                <m:t>D</m:t>
              </m:r>
            </m:e>
            <m:sub>
              <m:r>
                <w:rPr>
                  <w:rFonts w:ascii="Cambria Math" w:hAnsi="Cambria Math"/>
                  <w:sz w:val="22"/>
                </w:rPr>
                <m:t>spread</m:t>
              </m:r>
            </m:sub>
          </m:sSub>
          <m:r>
            <w:rPr>
              <w:rFonts w:ascii="Cambria Math" w:hAnsi="Cambria Math"/>
              <w:sz w:val="22"/>
            </w:rPr>
            <m:t>Δs</m:t>
          </m:r>
        </m:oMath>
      </m:oMathPara>
    </w:p>
    <w:p>
      <w:r>
        <w:rPr>
          <w:color w:val="000000"/>
        </w:rPr>
        <w:t>D 为适用的利率久期或利差久期，C 为凸性，收益率与利差变动用小数输入。平行移动近似不适合所有债券；曲线扭曲应使用关键期限久期，含权债券需考虑有效久期、期权和模型影响。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304"/>
        <w:gridCol w:w="4762"/>
        <w:gridCol w:w="3402"/>
      </w:tblGrid>
      <w:tr>
        <w:trPr>
          <w:cantSplit/>
          <w:tblHeader/>
        </w:trPr>
        <w:tc>
          <w:tcPr>
            <w:tcW w:type="dxa" w:w="1304"/>
            <w:vAlign w:val="center"/>
            <w:shd w:fill="DFE8F0"/>
          </w:tcPr>
          <w:p>
            <w:pPr>
              <w:keepNext/>
              <w:spacing w:after="0" w:line="269" w:lineRule="auto"/>
              <w:jc w:val="center"/>
            </w:pPr>
            <w:r>
              <w:rPr>
                <w:b/>
                <w:sz w:val="19"/>
              </w:rPr>
              <w:t>步骤</w:t>
            </w:r>
          </w:p>
        </w:tc>
        <w:tc>
          <w:tcPr>
            <w:tcW w:type="dxa" w:w="4762"/>
            <w:vAlign w:val="center"/>
            <w:shd w:fill="DFE8F0"/>
          </w:tcPr>
          <w:p>
            <w:pPr>
              <w:keepNext/>
              <w:spacing w:after="0" w:line="269" w:lineRule="auto"/>
              <w:jc w:val="center"/>
            </w:pPr>
            <w:r>
              <w:rPr>
                <w:b/>
                <w:sz w:val="19"/>
              </w:rPr>
              <w:t>数据与处理</w:t>
            </w:r>
          </w:p>
        </w:tc>
        <w:tc>
          <w:tcPr>
            <w:tcW w:type="dxa" w:w="3402"/>
            <w:vAlign w:val="center"/>
            <w:shd w:fill="DFE8F0"/>
          </w:tcPr>
          <w:p>
            <w:pPr>
              <w:keepNext/>
              <w:spacing w:after="0" w:line="269" w:lineRule="auto"/>
              <w:jc w:val="center"/>
            </w:pPr>
            <w:r>
              <w:rPr>
                <w:b/>
                <w:sz w:val="19"/>
              </w:rPr>
              <w:t>输出</w:t>
            </w:r>
          </w:p>
        </w:tc>
      </w:tr>
      <w:tr>
        <w:trPr>
          <w:cantSplit/>
        </w:trPr>
        <w:tc>
          <w:tcPr>
            <w:tcW w:type="dxa" w:w="1304"/>
            <w:vAlign w:val="center"/>
            <w:shd w:fill="FFFFFF"/>
          </w:tcPr>
          <w:p>
            <w:pPr>
              <w:keepNext w:val="0"/>
              <w:spacing w:after="0" w:line="269" w:lineRule="auto"/>
              <w:jc w:val="center"/>
            </w:pPr>
            <w:r>
              <w:rPr>
                <w:b w:val="0"/>
                <w:sz w:val="19"/>
              </w:rPr>
              <w:t>收入</w:t>
            </w:r>
          </w:p>
        </w:tc>
        <w:tc>
          <w:tcPr>
            <w:tcW w:type="dxa" w:w="4762"/>
            <w:vAlign w:val="center"/>
            <w:shd w:fill="FFFFFF"/>
          </w:tcPr>
          <w:p>
            <w:pPr>
              <w:keepNext w:val="0"/>
              <w:spacing w:after="0" w:line="269" w:lineRule="auto"/>
            </w:pPr>
            <w:r>
              <w:rPr>
                <w:b w:val="0"/>
                <w:sz w:val="19"/>
              </w:rPr>
              <w:t>票息、应计利息、价格与现金流</w:t>
            </w:r>
          </w:p>
        </w:tc>
        <w:tc>
          <w:tcPr>
            <w:tcW w:type="dxa" w:w="3402"/>
            <w:vAlign w:val="center"/>
            <w:shd w:fill="FFFFFF"/>
          </w:tcPr>
          <w:p>
            <w:pPr>
              <w:keepNext w:val="0"/>
              <w:spacing w:after="0" w:line="269" w:lineRule="auto"/>
              <w:jc w:val="center"/>
            </w:pPr>
            <w:r>
              <w:rPr>
                <w:b w:val="0"/>
                <w:sz w:val="19"/>
              </w:rPr>
              <w:t>期间收入贡献</w:t>
            </w:r>
          </w:p>
        </w:tc>
      </w:tr>
      <w:tr>
        <w:trPr>
          <w:cantSplit/>
        </w:trPr>
        <w:tc>
          <w:tcPr>
            <w:tcW w:type="dxa" w:w="1304"/>
            <w:vAlign w:val="center"/>
            <w:shd w:fill="FFFFFF"/>
          </w:tcPr>
          <w:p>
            <w:pPr>
              <w:keepNext w:val="0"/>
              <w:spacing w:after="0" w:line="269" w:lineRule="auto"/>
              <w:jc w:val="center"/>
            </w:pPr>
            <w:r>
              <w:rPr>
                <w:b w:val="0"/>
                <w:sz w:val="19"/>
              </w:rPr>
              <w:t>利率</w:t>
            </w:r>
          </w:p>
        </w:tc>
        <w:tc>
          <w:tcPr>
            <w:tcW w:type="dxa" w:w="4762"/>
            <w:vAlign w:val="center"/>
            <w:shd w:fill="FFFFFF"/>
          </w:tcPr>
          <w:p>
            <w:pPr>
              <w:keepNext w:val="0"/>
              <w:spacing w:after="0" w:line="269" w:lineRule="auto"/>
              <w:jc w:val="center"/>
            </w:pPr>
            <w:r>
              <w:rPr>
                <w:b w:val="0"/>
                <w:sz w:val="19"/>
              </w:rPr>
              <w:t>基准收益率曲线、久期、凸性</w:t>
            </w:r>
          </w:p>
        </w:tc>
        <w:tc>
          <w:tcPr>
            <w:tcW w:type="dxa" w:w="3402"/>
            <w:vAlign w:val="center"/>
            <w:shd w:fill="FFFFFF"/>
          </w:tcPr>
          <w:p>
            <w:pPr>
              <w:keepNext w:val="0"/>
              <w:spacing w:after="0" w:line="269" w:lineRule="auto"/>
              <w:jc w:val="center"/>
            </w:pPr>
            <w:r>
              <w:rPr>
                <w:b w:val="0"/>
                <w:sz w:val="19"/>
              </w:rPr>
              <w:t>国债曲线变化贡献</w:t>
            </w:r>
          </w:p>
        </w:tc>
      </w:tr>
      <w:tr>
        <w:trPr>
          <w:cantSplit/>
        </w:trPr>
        <w:tc>
          <w:tcPr>
            <w:tcW w:type="dxa" w:w="1304"/>
            <w:vAlign w:val="center"/>
            <w:shd w:fill="FFFFFF"/>
          </w:tcPr>
          <w:p>
            <w:pPr>
              <w:keepNext w:val="0"/>
              <w:spacing w:after="0" w:line="269" w:lineRule="auto"/>
              <w:jc w:val="center"/>
            </w:pPr>
            <w:r>
              <w:rPr>
                <w:b w:val="0"/>
                <w:sz w:val="19"/>
              </w:rPr>
              <w:t>利差</w:t>
            </w:r>
          </w:p>
        </w:tc>
        <w:tc>
          <w:tcPr>
            <w:tcW w:type="dxa" w:w="4762"/>
            <w:vAlign w:val="center"/>
            <w:shd w:fill="FFFFFF"/>
          </w:tcPr>
          <w:p>
            <w:pPr>
              <w:keepNext w:val="0"/>
              <w:spacing w:after="0" w:line="269" w:lineRule="auto"/>
            </w:pPr>
            <w:r>
              <w:rPr>
                <w:b w:val="0"/>
                <w:sz w:val="19"/>
              </w:rPr>
              <w:t>信用曲线或 OAS、利差久期</w:t>
            </w:r>
          </w:p>
        </w:tc>
        <w:tc>
          <w:tcPr>
            <w:tcW w:type="dxa" w:w="3402"/>
            <w:vAlign w:val="center"/>
            <w:shd w:fill="FFFFFF"/>
          </w:tcPr>
          <w:p>
            <w:pPr>
              <w:keepNext w:val="0"/>
              <w:spacing w:after="0" w:line="269" w:lineRule="auto"/>
              <w:jc w:val="center"/>
            </w:pPr>
            <w:r>
              <w:rPr>
                <w:b w:val="0"/>
                <w:sz w:val="19"/>
              </w:rPr>
              <w:t>信用利差变化贡献</w:t>
            </w:r>
          </w:p>
        </w:tc>
      </w:tr>
      <w:tr>
        <w:trPr>
          <w:cantSplit/>
        </w:trPr>
        <w:tc>
          <w:tcPr>
            <w:tcW w:type="dxa" w:w="1304"/>
            <w:vAlign w:val="center"/>
            <w:shd w:fill="FFFFFF"/>
          </w:tcPr>
          <w:p>
            <w:pPr>
              <w:keepNext w:val="0"/>
              <w:spacing w:after="0" w:line="269" w:lineRule="auto"/>
              <w:jc w:val="center"/>
            </w:pPr>
            <w:r>
              <w:rPr>
                <w:b w:val="0"/>
                <w:sz w:val="19"/>
              </w:rPr>
              <w:t>剩余与对账</w:t>
            </w:r>
          </w:p>
        </w:tc>
        <w:tc>
          <w:tcPr>
            <w:tcW w:type="dxa" w:w="4762"/>
            <w:vAlign w:val="center"/>
            <w:shd w:fill="FFFFFF"/>
          </w:tcPr>
          <w:p>
            <w:pPr>
              <w:keepNext w:val="0"/>
              <w:spacing w:after="0" w:line="269" w:lineRule="auto"/>
              <w:jc w:val="center"/>
            </w:pPr>
            <w:r>
              <w:rPr>
                <w:b w:val="0"/>
                <w:sz w:val="19"/>
              </w:rPr>
              <w:t>总收益减去已解释项</w:t>
            </w:r>
          </w:p>
        </w:tc>
        <w:tc>
          <w:tcPr>
            <w:tcW w:type="dxa" w:w="3402"/>
            <w:vAlign w:val="center"/>
            <w:shd w:fill="FFFFFF"/>
          </w:tcPr>
          <w:p>
            <w:pPr>
              <w:keepNext w:val="0"/>
              <w:spacing w:after="0" w:line="269" w:lineRule="auto"/>
              <w:jc w:val="center"/>
            </w:pPr>
            <w:r>
              <w:rPr>
                <w:b w:val="0"/>
                <w:sz w:val="19"/>
              </w:rPr>
              <w:t>剩余项、费用及模型误差检查</w:t>
            </w:r>
          </w:p>
        </w:tc>
      </w:tr>
    </w:tbl>
    <w:p>
      <w:pPr>
        <w:spacing w:after="0"/>
      </w:pPr>
    </w:p>
    <w:p>
      <w:r>
        <w:rPr>
          <w:color w:val="000000"/>
        </w:rPr>
        <w:t>独立演示：基金收益 1.20%，基准收益 0.80%，主动收益为 0.40 个百分点。主动贡献可拆为收入 0.05、利率 0.20、利差 0.05、剩余 0.10 个百分点。先分别对基金和基准做相同方法归因，再逐项相减，才能形成可比的主动贡献。</w:t>
      </w:r>
    </w:p>
    <w:p>
      <w:r>
        <w:rPr>
          <w:color w:val="000000"/>
        </w:rPr>
        <w:t>在这个例子中，利率配置是最大贡献来源。剩余项包含个券选择，也可能包含流动性变化、估值差异、违约事件和近似误差，不能全部视为经理的选券能力。</w:t>
      </w:r>
    </w:p>
    <w:p>
      <w:pPr>
        <w:pStyle w:val="Heading2"/>
      </w:pPr>
      <w:r>
        <w:rPr>
          <w:color w:val="000000"/>
        </w:rPr>
        <w:t>5 择时模型检验市场敞口是否随行情变化</w:t>
      </w:r>
    </w:p>
    <w:p>
      <w:r>
        <w:rPr>
          <w:color w:val="000000"/>
        </w:rPr>
        <w:t>令 x 为市场超额收益，y 为组合超额收益。Treynor–Mazuy 在线性模型中加入平方项；Henriksson–Merton 使用上涨市场项刻画上下行 Beta 的差异。</w:t>
      </w:r>
    </w:p>
    <w:p>
      <w:pPr>
        <w:keepLines/>
        <w:spacing w:before="60" w:after="140"/>
        <w:jc w:val="center"/>
      </w:pPr>
      <m:oMathPara>
        <m:oMath>
          <m:r>
            <w:rPr>
              <w:rFonts w:ascii="Cambria Math" w:hAnsi="Cambria Math"/>
              <w:sz w:val="22"/>
            </w:rPr>
            <m:t>TM:  </m:t>
          </m:r>
          <m:sSub>
            <m:e>
              <m:r>
                <w:rPr>
                  <w:rFonts w:ascii="Cambria Math" w:hAnsi="Cambria Math"/>
                  <w:sz w:val="22"/>
                </w:rPr>
                <m:t>y</m:t>
              </m:r>
            </m:e>
            <m:sub>
              <m:r>
                <w:rPr>
                  <w:rFonts w:ascii="Cambria Math" w:hAnsi="Cambria Math"/>
                  <w:sz w:val="22"/>
                </w:rPr>
                <m:t>t</m:t>
              </m:r>
            </m:sub>
          </m:sSub>
          <m:r>
            <w:rPr>
              <w:rFonts w:ascii="Cambria Math" w:hAnsi="Cambria Math"/>
              <w:sz w:val="22"/>
            </w:rPr>
            <m:t> = α + β</m:t>
          </m:r>
          <m:sSub>
            <m:e>
              <m:r>
                <w:rPr>
                  <w:rFonts w:ascii="Cambria Math" w:hAnsi="Cambria Math"/>
                  <w:sz w:val="22"/>
                </w:rPr>
                <m:t>x</m:t>
              </m:r>
            </m:e>
            <m:sub>
              <m:r>
                <w:rPr>
                  <w:rFonts w:ascii="Cambria Math" w:hAnsi="Cambria Math"/>
                  <w:sz w:val="22"/>
                </w:rPr>
                <m:t>t</m:t>
              </m:r>
            </m:sub>
          </m:sSub>
          <m:r>
            <w:rPr>
              <w:rFonts w:ascii="Cambria Math" w:hAnsi="Cambria Math"/>
              <w:sz w:val="22"/>
            </w:rPr>
            <m:t> + γ</m:t>
          </m:r>
          <m:sSup>
            <m:e>
              <m:sSub>
                <m:e>
                  <m:r>
                    <w:rPr>
                      <w:rFonts w:ascii="Cambria Math" w:hAnsi="Cambria Math"/>
                      <w:sz w:val="22"/>
                    </w:rPr>
                    <m:t>x</m:t>
                  </m:r>
                </m:e>
                <m:sub>
                  <m:r>
                    <w:rPr>
                      <w:rFonts w:ascii="Cambria Math" w:hAnsi="Cambria Math"/>
                      <w:sz w:val="22"/>
                    </w:rPr>
                    <m:t>t</m:t>
                  </m:r>
                </m:sub>
              </m:sSub>
            </m:e>
            <m:sup>
              <m:r>
                <w:rPr>
                  <w:rFonts w:ascii="Cambria Math" w:hAnsi="Cambria Math"/>
                  <w:sz w:val="22"/>
                </w:rPr>
                <m:t>2</m:t>
              </m:r>
            </m:sup>
          </m:sSup>
          <m:r>
            <w:rPr>
              <w:rFonts w:ascii="Cambria Math" w:hAnsi="Cambria Math"/>
              <w:sz w:val="22"/>
            </w:rPr>
            <m:t> + </m:t>
          </m:r>
          <m:sSub>
            <m:e>
              <m:r>
                <w:rPr>
                  <w:rFonts w:ascii="Cambria Math" w:hAnsi="Cambria Math"/>
                  <w:sz w:val="22"/>
                </w:rPr>
                <m:t>ε</m:t>
              </m:r>
            </m:e>
            <m:sub>
              <m:r>
                <w:rPr>
                  <w:rFonts w:ascii="Cambria Math" w:hAnsi="Cambria Math"/>
                  <w:sz w:val="22"/>
                </w:rPr>
                <m:t>t</m:t>
              </m:r>
            </m:sub>
          </m:sSub>
        </m:oMath>
      </m:oMathPara>
    </w:p>
    <w:p>
      <w:pPr>
        <w:keepLines/>
        <w:spacing w:before="60" w:after="140"/>
        <w:jc w:val="center"/>
      </w:pPr>
      <m:oMathPara>
        <m:oMath>
          <m:r>
            <w:rPr>
              <w:rFonts w:ascii="Cambria Math" w:hAnsi="Cambria Math"/>
              <w:sz w:val="22"/>
            </w:rPr>
            <m:t>HM:  </m:t>
          </m:r>
          <m:sSub>
            <m:e>
              <m:r>
                <w:rPr>
                  <w:rFonts w:ascii="Cambria Math" w:hAnsi="Cambria Math"/>
                  <w:sz w:val="22"/>
                </w:rPr>
                <m:t>y</m:t>
              </m:r>
            </m:e>
            <m:sub>
              <m:r>
                <w:rPr>
                  <w:rFonts w:ascii="Cambria Math" w:hAnsi="Cambria Math"/>
                  <w:sz w:val="22"/>
                </w:rPr>
                <m:t>t</m:t>
              </m:r>
            </m:sub>
          </m:sSub>
          <m:r>
            <w:rPr>
              <w:rFonts w:ascii="Cambria Math" w:hAnsi="Cambria Math"/>
              <w:sz w:val="22"/>
            </w:rPr>
            <m:t> = α + β</m:t>
          </m:r>
          <m:sSub>
            <m:e>
              <m:r>
                <w:rPr>
                  <w:rFonts w:ascii="Cambria Math" w:hAnsi="Cambria Math"/>
                  <w:sz w:val="22"/>
                </w:rPr>
                <m:t>x</m:t>
              </m:r>
            </m:e>
            <m:sub>
              <m:r>
                <w:rPr>
                  <w:rFonts w:ascii="Cambria Math" w:hAnsi="Cambria Math"/>
                  <w:sz w:val="22"/>
                </w:rPr>
                <m:t>t</m:t>
              </m:r>
            </m:sub>
          </m:sSub>
          <m:r>
            <w:rPr>
              <w:rFonts w:ascii="Cambria Math" w:hAnsi="Cambria Math"/>
              <w:sz w:val="22"/>
            </w:rPr>
            <m:t> + γ max(</m:t>
          </m:r>
          <m:sSub>
            <m:e>
              <m:r>
                <w:rPr>
                  <w:rFonts w:ascii="Cambria Math" w:hAnsi="Cambria Math"/>
                  <w:sz w:val="22"/>
                </w:rPr>
                <m:t>x</m:t>
              </m:r>
            </m:e>
            <m:sub>
              <m:r>
                <w:rPr>
                  <w:rFonts w:ascii="Cambria Math" w:hAnsi="Cambria Math"/>
                  <w:sz w:val="22"/>
                </w:rPr>
                <m:t>t</m:t>
              </m:r>
            </m:sub>
          </m:sSub>
          <m:r>
            <w:rPr>
              <w:rFonts w:ascii="Cambria Math" w:hAnsi="Cambria Math"/>
              <w:sz w:val="22"/>
            </w:rPr>
            <m:t>, 0) + </m:t>
          </m:r>
          <m:sSub>
            <m:e>
              <m:r>
                <w:rPr>
                  <w:rFonts w:ascii="Cambria Math" w:hAnsi="Cambria Math"/>
                  <w:sz w:val="22"/>
                </w:rPr>
                <m:t>ε</m:t>
              </m:r>
            </m:e>
            <m:sub>
              <m:r>
                <w:rPr>
                  <w:rFonts w:ascii="Cambria Math" w:hAnsi="Cambria Math"/>
                  <w:sz w:val="22"/>
                </w:rPr>
                <m:t>t</m:t>
              </m:r>
            </m:sub>
          </m:sSub>
        </m:oMath>
      </m:oMathPara>
    </w:p>
    <w:p>
      <w:r>
        <w:rPr>
          <w:color w:val="000000"/>
        </w:rPr>
        <w:t>TM 中正且显著的 γ 表示正向凸性；HM 中下行 Beta 为 β，上行 Beta 为 β + γ。γ 为正且显著可支持择时特征，但期权、动态风险控制及非线性策略同样可能产生这一结果。仅凭线性模型的恒定 Beta，不能证明不存在择时能力。</w:t>
      </w:r>
    </w:p>
    <w:p>
      <w:pPr>
        <w:pStyle w:val="Heading1"/>
        <w:pageBreakBefore/>
      </w:pPr>
      <w:r>
        <w:rPr>
          <w:color w:val="000000"/>
        </w:rPr>
        <w:t>六 交易成本与策略容量</w:t>
      </w:r>
    </w:p>
    <w:p>
      <w:r>
        <w:rPr>
          <w:color w:val="000000"/>
        </w:rPr>
        <w:t>绩效评价应从理论机会延伸到实际执行。费用前的优势只有在覆盖交易成本、管理费用和执行限制后仍然存在，才具有可实现的经济价值。</w:t>
      </w:r>
    </w:p>
    <w:p>
      <w:pPr>
        <w:pStyle w:val="Heading2"/>
      </w:pPr>
      <w:r>
        <w:rPr>
          <w:color w:val="000000"/>
        </w:rPr>
        <w:t>1 建立从毛收益到净收益的对账</w:t>
      </w:r>
    </w:p>
    <w:p>
      <w:pPr>
        <w:keepLines/>
        <w:spacing w:before="60" w:after="140"/>
        <w:jc w:val="center"/>
      </w:pPr>
      <m:oMathPara>
        <m:oMath>
          <m:sSub>
            <m:e>
              <m:r>
                <w:rPr>
                  <w:rFonts w:ascii="Cambria Math" w:hAnsi="Cambria Math"/>
                  <w:sz w:val="22"/>
                </w:rPr>
                <m:t>α</m:t>
              </m:r>
            </m:e>
            <m:sub>
              <m:r>
                <w:rPr>
                  <w:rFonts w:ascii="Cambria Math" w:hAnsi="Cambria Math"/>
                  <w:sz w:val="22"/>
                </w:rPr>
                <m:t>net</m:t>
              </m:r>
            </m:sub>
          </m:sSub>
          <m:r>
            <w:rPr>
              <w:rFonts w:ascii="Cambria Math" w:hAnsi="Cambria Math"/>
              <w:sz w:val="22"/>
            </w:rPr>
            <m:t> ≈ </m:t>
          </m:r>
          <m:sSub>
            <m:e>
              <m:r>
                <w:rPr>
                  <w:rFonts w:ascii="Cambria Math" w:hAnsi="Cambria Math"/>
                  <w:sz w:val="22"/>
                </w:rPr>
                <m:t>α</m:t>
              </m:r>
            </m:e>
            <m:sub>
              <m:r>
                <w:rPr>
                  <w:rFonts w:ascii="Cambria Math" w:hAnsi="Cambria Math"/>
                  <w:sz w:val="22"/>
                </w:rPr>
                <m:t>gross</m:t>
              </m:r>
            </m:sub>
          </m:sSub>
          <m:r>
            <w:rPr>
              <w:rFonts w:ascii="Cambria Math" w:hAnsi="Cambria Math"/>
              <w:sz w:val="22"/>
            </w:rPr>
            <m:t> − </m:t>
          </m:r>
          <m:sSub>
            <m:e>
              <m:r>
                <w:rPr>
                  <w:rFonts w:ascii="Cambria Math" w:hAnsi="Cambria Math"/>
                  <w:sz w:val="22"/>
                </w:rPr>
                <m:t>c</m:t>
              </m:r>
            </m:e>
            <m:sub>
              <m:r>
                <w:rPr>
                  <w:rFonts w:ascii="Cambria Math" w:hAnsi="Cambria Math"/>
                  <w:sz w:val="22"/>
                </w:rPr>
                <m:t>trade</m:t>
              </m:r>
            </m:sub>
          </m:sSub>
          <m:r>
            <w:rPr>
              <w:rFonts w:ascii="Cambria Math" w:hAnsi="Cambria Math"/>
              <w:sz w:val="22"/>
            </w:rPr>
            <m:t> − </m:t>
          </m:r>
          <m:sSub>
            <m:e>
              <m:r>
                <w:rPr>
                  <w:rFonts w:ascii="Cambria Math" w:hAnsi="Cambria Math"/>
                  <w:sz w:val="22"/>
                </w:rPr>
                <m:t>c</m:t>
              </m:r>
            </m:e>
            <m:sub>
              <m:r>
                <w:rPr>
                  <w:rFonts w:ascii="Cambria Math" w:hAnsi="Cambria Math"/>
                  <w:sz w:val="22"/>
                </w:rPr>
                <m:t>fee</m:t>
              </m:r>
            </m:sub>
          </m:sSub>
        </m:oMath>
      </m:oMathPara>
    </w:p>
    <w:p>
      <w:r>
        <w:rPr>
          <w:color w:val="000000"/>
        </w:rPr>
        <w:t>这一表达用于同期间、同资产基数下的收益差额近似。严格的净 Alpha 应对扣费后的净收益序列重新回归。成本包括佣金、税费、买卖价差、市场冲击和其他适用费用；应先查明已计入净值的成本，避免再次扣减。基准自身的成本口径也要说明。</w:t>
      </w:r>
    </w:p>
    <w:p>
      <w:r>
        <w:rPr>
          <w:color w:val="000000"/>
        </w:rPr>
        <w:t>独立演示：费用前模型 Alpha 为每年 4.00%，交易成本估计 1.20%，其他尚未计入费用 0.60%，近似净 Alpha 为 2.20%。随后还应重估净收益回归、检查不确定性和样本外表现，不能仅凭差额为正判断策略有效。</w:t>
      </w:r>
    </w:p>
    <w:p>
      <w:pPr>
        <w:pStyle w:val="Heading2"/>
      </w:pPr>
      <w:r>
        <w:rPr>
          <w:color w:val="000000"/>
        </w:rPr>
        <w:t>2 先统一换手率定义再估算成本</w:t>
      </w:r>
    </w:p>
    <w:p>
      <w:pPr>
        <w:keepLines/>
        <w:spacing w:before="60" w:after="140"/>
        <w:jc w:val="center"/>
      </w:pPr>
      <m:oMathPara>
        <m:oMath>
          <m:r>
            <w:rPr>
              <w:rFonts w:ascii="Cambria Math" w:hAnsi="Cambria Math"/>
              <w:sz w:val="22"/>
            </w:rPr>
            <m:t>TO = </m:t>
          </m:r>
          <m:f>
            <m:num>
              <m:nary>
                <m:naryPr>
                  <m:chr m:val="∑"/>
                  <m:limLoc m:val="subSup"/>
                  <m:supHide m:val="1"/>
                </m:naryPr>
                <m:sub>
                  <m:r>
                    <w:rPr>
                      <w:rFonts w:ascii="Cambria Math" w:hAnsi="Cambria Math"/>
                      <w:sz w:val="22"/>
                    </w:rPr>
                    <m:t>t</m:t>
                  </m:r>
                </m:sub>
                <m:sup>
                  <m:r>
                    <w:rPr>
                      <w:rFonts w:ascii="Cambria Math" w:hAnsi="Cambria Math"/>
                      <w:sz w:val="22"/>
                    </w:rPr>
                    <m:t/>
                  </m:r>
                </m:sup>
                <m:e>
                  <m:r>
                    <w:rPr>
                      <w:rFonts w:ascii="Cambria Math" w:hAnsi="Cambria Math"/>
                      <w:sz w:val="22"/>
                    </w:rPr>
                    <m:t>|</m:t>
                  </m:r>
                  <m:sSub>
                    <m:e>
                      <m:r>
                        <w:rPr>
                          <w:rFonts w:ascii="Cambria Math" w:hAnsi="Cambria Math"/>
                          <w:sz w:val="22"/>
                        </w:rPr>
                        <m:t>B</m:t>
                      </m:r>
                    </m:e>
                    <m:sub>
                      <m:r>
                        <w:rPr>
                          <w:rFonts w:ascii="Cambria Math" w:hAnsi="Cambria Math"/>
                          <w:sz w:val="22"/>
                        </w:rPr>
                        <m:t>t</m:t>
                      </m:r>
                    </m:sub>
                  </m:sSub>
                  <m:r>
                    <w:rPr>
                      <w:rFonts w:ascii="Cambria Math" w:hAnsi="Cambria Math"/>
                      <w:sz w:val="22"/>
                    </w:rPr>
                    <m:t>| + |</m:t>
                  </m:r>
                  <m:sSub>
                    <m:e>
                      <m:r>
                        <w:rPr>
                          <w:rFonts w:ascii="Cambria Math" w:hAnsi="Cambria Math"/>
                          <w:sz w:val="22"/>
                        </w:rPr>
                        <m:t>S</m:t>
                      </m:r>
                    </m:e>
                    <m:sub>
                      <m:r>
                        <w:rPr>
                          <w:rFonts w:ascii="Cambria Math" w:hAnsi="Cambria Math"/>
                          <w:sz w:val="22"/>
                        </w:rPr>
                        <m:t>t</m:t>
                      </m:r>
                    </m:sub>
                  </m:sSub>
                  <m:r>
                    <w:rPr>
                      <w:rFonts w:ascii="Cambria Math" w:hAnsi="Cambria Math"/>
                      <w:sz w:val="22"/>
                    </w:rPr>
                    <m:t>|</m:t>
                  </m:r>
                </m:e>
              </m:nary>
            </m:num>
            <m:den>
              <m:r>
                <w:rPr>
                  <w:rFonts w:ascii="Cambria Math" w:hAnsi="Cambria Math"/>
                  <w:sz w:val="22"/>
                </w:rPr>
                <m:t>2 × 平均资产净值</m:t>
              </m:r>
            </m:den>
          </m:f>
        </m:oMath>
      </m:oMathPara>
    </w:p>
    <w:p>
      <w:r>
        <w:rPr>
          <w:color w:val="000000"/>
        </w:rPr>
        <w:t>此处 TO 为买卖成交额之和除以两倍平均资产净值，B 和 S 分别为买入、卖出金额。若每单位成交额成本为 c，则线性交易成本率近似为 2 × TO × c。例如 TO 为 100%、单位成交额成本为 20 bp，则成本约为 40 bp。若数据采用其他换手定义，应重新换算，不能直接套用。</w:t>
      </w:r>
    </w:p>
    <w:p>
      <w:pPr>
        <w:pStyle w:val="Heading2"/>
      </w:pPr>
      <w:r>
        <w:rPr>
          <w:color w:val="000000"/>
        </w:rPr>
        <w:t>3 用流动性限制检验容量</w:t>
      </w:r>
    </w:p>
    <w:p>
      <w:r>
        <w:rPr>
          <w:color w:val="000000"/>
        </w:rPr>
        <w:t>对每只资产估算所需交易金额、日均成交额、允许参与率和可用执行天数，识别规模增加后是否需要过高参与率。再对规模、点差和冲击参数进行敏感性分析，观察净收益随管理规模的变化。市场冲击通常并非线性，应优先使用成交记录校准。</w:t>
      </w:r>
    </w:p>
    <w:p>
      <w:r>
        <w:rPr>
          <w:color w:val="000000"/>
        </w:rPr>
        <w:t>再平衡时，比较增量预期收益、风险改善与增量成本。若收益改善不足以覆盖费用，可设置无交易区间；区间应由风险偏离和买卖方向共同决定，避免为维持精确权重而频繁小额交易。</w:t>
      </w:r>
    </w:p>
    <w:p>
      <w:pPr>
        <w:pStyle w:val="Heading2"/>
      </w:pPr>
      <w:r>
        <w:rPr>
          <w:color w:val="000000"/>
        </w:rPr>
        <w:t>4 按产品类型选择评价工具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87"/>
        <w:gridCol w:w="3912"/>
        <w:gridCol w:w="3969"/>
      </w:tblGrid>
      <w:tr>
        <w:trPr>
          <w:cantSplit/>
          <w:tblHeader/>
        </w:trPr>
        <w:tc>
          <w:tcPr>
            <w:tcW w:type="dxa" w:w="1587"/>
            <w:vAlign w:val="center"/>
            <w:shd w:fill="DFE8F0"/>
          </w:tcPr>
          <w:p>
            <w:pPr>
              <w:keepNext/>
              <w:spacing w:after="0" w:line="269" w:lineRule="auto"/>
              <w:jc w:val="center"/>
            </w:pPr>
            <w:r>
              <w:rPr>
                <w:b/>
                <w:sz w:val="19"/>
              </w:rPr>
              <w:t>产品类型</w:t>
            </w:r>
          </w:p>
        </w:tc>
        <w:tc>
          <w:tcPr>
            <w:tcW w:type="dxa" w:w="3912"/>
            <w:vAlign w:val="center"/>
            <w:shd w:fill="DFE8F0"/>
          </w:tcPr>
          <w:p>
            <w:pPr>
              <w:keepNext/>
              <w:spacing w:after="0" w:line="269" w:lineRule="auto"/>
              <w:jc w:val="center"/>
            </w:pPr>
            <w:r>
              <w:rPr>
                <w:b/>
                <w:sz w:val="19"/>
              </w:rPr>
              <w:t>优先工具</w:t>
            </w:r>
          </w:p>
        </w:tc>
        <w:tc>
          <w:tcPr>
            <w:tcW w:type="dxa" w:w="3969"/>
            <w:vAlign w:val="center"/>
            <w:shd w:fill="DFE8F0"/>
          </w:tcPr>
          <w:p>
            <w:pPr>
              <w:keepNext/>
              <w:spacing w:after="0" w:line="269" w:lineRule="auto"/>
              <w:jc w:val="center"/>
            </w:pPr>
            <w:r>
              <w:rPr>
                <w:b/>
                <w:sz w:val="19"/>
              </w:rPr>
              <w:t>补充检查</w:t>
            </w:r>
          </w:p>
        </w:tc>
      </w:tr>
      <w:tr>
        <w:trPr>
          <w:cantSplit/>
        </w:trPr>
        <w:tc>
          <w:tcPr>
            <w:tcW w:type="dxa" w:w="1587"/>
            <w:vAlign w:val="center"/>
            <w:shd w:fill="FFFFFF"/>
          </w:tcPr>
          <w:p>
            <w:pPr>
              <w:keepNext w:val="0"/>
              <w:spacing w:after="0" w:line="269" w:lineRule="auto"/>
              <w:jc w:val="center"/>
            </w:pPr>
            <w:r>
              <w:rPr>
                <w:b w:val="0"/>
                <w:sz w:val="19"/>
              </w:rPr>
              <w:t>主动权益</w:t>
            </w:r>
          </w:p>
        </w:tc>
        <w:tc>
          <w:tcPr>
            <w:tcW w:type="dxa" w:w="3912"/>
            <w:vAlign w:val="center"/>
            <w:shd w:fill="FFFFFF"/>
          </w:tcPr>
          <w:p>
            <w:pPr>
              <w:keepNext w:val="0"/>
              <w:spacing w:after="0" w:line="269" w:lineRule="auto"/>
            </w:pPr>
            <w:r>
              <w:rPr>
                <w:b w:val="0"/>
                <w:sz w:val="19"/>
              </w:rPr>
              <w:t>Brinson、风格与多因子</w:t>
            </w:r>
          </w:p>
        </w:tc>
        <w:tc>
          <w:tcPr>
            <w:tcW w:type="dxa" w:w="3969"/>
            <w:vAlign w:val="center"/>
            <w:shd w:fill="FFFFFF"/>
          </w:tcPr>
          <w:p>
            <w:pPr>
              <w:keepNext w:val="0"/>
              <w:spacing w:after="0" w:line="269" w:lineRule="auto"/>
              <w:jc w:val="center"/>
            </w:pPr>
            <w:r>
              <w:rPr>
                <w:b w:val="0"/>
                <w:sz w:val="19"/>
              </w:rPr>
              <w:t>选股稳定性、集中度、成本</w:t>
            </w:r>
          </w:p>
        </w:tc>
      </w:tr>
      <w:tr>
        <w:trPr>
          <w:cantSplit/>
        </w:trPr>
        <w:tc>
          <w:tcPr>
            <w:tcW w:type="dxa" w:w="1587"/>
            <w:vAlign w:val="center"/>
            <w:shd w:fill="FFFFFF"/>
          </w:tcPr>
          <w:p>
            <w:pPr>
              <w:keepNext w:val="0"/>
              <w:spacing w:after="0" w:line="269" w:lineRule="auto"/>
              <w:jc w:val="center"/>
            </w:pPr>
            <w:r>
              <w:rPr>
                <w:b w:val="0"/>
                <w:sz w:val="19"/>
              </w:rPr>
              <w:t>指数增强</w:t>
            </w:r>
          </w:p>
        </w:tc>
        <w:tc>
          <w:tcPr>
            <w:tcW w:type="dxa" w:w="3912"/>
            <w:vAlign w:val="center"/>
            <w:shd w:fill="FFFFFF"/>
          </w:tcPr>
          <w:p>
            <w:pPr>
              <w:keepNext w:val="0"/>
              <w:spacing w:after="0" w:line="269" w:lineRule="auto"/>
              <w:jc w:val="center"/>
            </w:pPr>
            <w:r>
              <w:rPr>
                <w:b w:val="0"/>
                <w:sz w:val="19"/>
              </w:rPr>
              <w:t>IR、TE、多因子</w:t>
            </w:r>
          </w:p>
        </w:tc>
        <w:tc>
          <w:tcPr>
            <w:tcW w:type="dxa" w:w="3969"/>
            <w:vAlign w:val="center"/>
            <w:shd w:fill="FFFFFF"/>
          </w:tcPr>
          <w:p>
            <w:pPr>
              <w:keepNext w:val="0"/>
              <w:spacing w:after="0" w:line="269" w:lineRule="auto"/>
              <w:jc w:val="center"/>
            </w:pPr>
            <w:r>
              <w:rPr>
                <w:b w:val="0"/>
                <w:sz w:val="19"/>
              </w:rPr>
              <w:t>偏离基准、约束与容量</w:t>
            </w:r>
          </w:p>
        </w:tc>
      </w:tr>
      <w:tr>
        <w:trPr>
          <w:cantSplit/>
        </w:trPr>
        <w:tc>
          <w:tcPr>
            <w:tcW w:type="dxa" w:w="1587"/>
            <w:vAlign w:val="center"/>
            <w:shd w:fill="FFFFFF"/>
          </w:tcPr>
          <w:p>
            <w:pPr>
              <w:keepNext w:val="0"/>
              <w:spacing w:after="0" w:line="269" w:lineRule="auto"/>
              <w:jc w:val="center"/>
            </w:pPr>
            <w:r>
              <w:rPr>
                <w:b w:val="0"/>
                <w:sz w:val="19"/>
              </w:rPr>
              <w:t>固定收益</w:t>
            </w:r>
          </w:p>
        </w:tc>
        <w:tc>
          <w:tcPr>
            <w:tcW w:type="dxa" w:w="3912"/>
            <w:vAlign w:val="center"/>
            <w:shd w:fill="FFFFFF"/>
          </w:tcPr>
          <w:p>
            <w:pPr>
              <w:keepNext w:val="0"/>
              <w:spacing w:after="0" w:line="269" w:lineRule="auto"/>
            </w:pPr>
            <w:r>
              <w:rPr>
                <w:b w:val="0"/>
                <w:sz w:val="19"/>
              </w:rPr>
              <w:t>Campisi、久期与利差归因</w:t>
            </w:r>
          </w:p>
        </w:tc>
        <w:tc>
          <w:tcPr>
            <w:tcW w:type="dxa" w:w="3969"/>
            <w:vAlign w:val="center"/>
            <w:shd w:fill="FFFFFF"/>
          </w:tcPr>
          <w:p>
            <w:pPr>
              <w:keepNext w:val="0"/>
              <w:spacing w:after="0" w:line="269" w:lineRule="auto"/>
              <w:jc w:val="center"/>
            </w:pPr>
            <w:r>
              <w:rPr>
                <w:b w:val="0"/>
                <w:sz w:val="19"/>
              </w:rPr>
              <w:t>信用、流动性与估值平滑</w:t>
            </w:r>
          </w:p>
        </w:tc>
      </w:tr>
      <w:tr>
        <w:trPr>
          <w:cantSplit/>
        </w:trPr>
        <w:tc>
          <w:tcPr>
            <w:tcW w:type="dxa" w:w="1587"/>
            <w:vAlign w:val="center"/>
            <w:shd w:fill="FFFFFF"/>
          </w:tcPr>
          <w:p>
            <w:pPr>
              <w:keepNext w:val="0"/>
              <w:spacing w:after="0" w:line="269" w:lineRule="auto"/>
              <w:jc w:val="center"/>
            </w:pPr>
            <w:r>
              <w:rPr>
                <w:b w:val="0"/>
                <w:sz w:val="19"/>
              </w:rPr>
              <w:t>固收加权益</w:t>
            </w:r>
          </w:p>
        </w:tc>
        <w:tc>
          <w:tcPr>
            <w:tcW w:type="dxa" w:w="3912"/>
            <w:vAlign w:val="center"/>
            <w:shd w:fill="FFFFFF"/>
          </w:tcPr>
          <w:p>
            <w:pPr>
              <w:keepNext w:val="0"/>
              <w:spacing w:after="0" w:line="269" w:lineRule="auto"/>
              <w:jc w:val="center"/>
            </w:pPr>
            <w:r>
              <w:rPr>
                <w:b w:val="0"/>
                <w:sz w:val="19"/>
              </w:rPr>
              <w:t>先股债拆分，再分资产归因</w:t>
            </w:r>
          </w:p>
        </w:tc>
        <w:tc>
          <w:tcPr>
            <w:tcW w:type="dxa" w:w="3969"/>
            <w:vAlign w:val="center"/>
            <w:shd w:fill="FFFFFF"/>
          </w:tcPr>
          <w:p>
            <w:pPr>
              <w:keepNext w:val="0"/>
              <w:spacing w:after="0" w:line="269" w:lineRule="auto"/>
              <w:jc w:val="center"/>
            </w:pPr>
            <w:r>
              <w:rPr>
                <w:b w:val="0"/>
                <w:sz w:val="19"/>
              </w:rPr>
              <w:t>配置贡献与权益尾部风险</w:t>
            </w:r>
          </w:p>
        </w:tc>
      </w:tr>
      <w:tr>
        <w:trPr>
          <w:cantSplit/>
        </w:trPr>
        <w:tc>
          <w:tcPr>
            <w:tcW w:type="dxa" w:w="1587"/>
            <w:vAlign w:val="center"/>
            <w:shd w:fill="FFFFFF"/>
          </w:tcPr>
          <w:p>
            <w:pPr>
              <w:keepNext w:val="0"/>
              <w:spacing w:after="0" w:line="269" w:lineRule="auto"/>
              <w:jc w:val="center"/>
            </w:pPr>
            <w:r>
              <w:rPr>
                <w:b w:val="0"/>
                <w:sz w:val="19"/>
              </w:rPr>
              <w:t>量化</w:t>
            </w:r>
          </w:p>
        </w:tc>
        <w:tc>
          <w:tcPr>
            <w:tcW w:type="dxa" w:w="3912"/>
            <w:vAlign w:val="center"/>
            <w:shd w:fill="FFFFFF"/>
          </w:tcPr>
          <w:p>
            <w:pPr>
              <w:keepNext w:val="0"/>
              <w:spacing w:after="0" w:line="269" w:lineRule="auto"/>
              <w:jc w:val="center"/>
            </w:pPr>
            <w:r>
              <w:rPr>
                <w:b w:val="0"/>
                <w:sz w:val="19"/>
              </w:rPr>
              <w:t>因子暴露、IC、净 IR</w:t>
            </w:r>
          </w:p>
        </w:tc>
        <w:tc>
          <w:tcPr>
            <w:tcW w:type="dxa" w:w="3969"/>
            <w:vAlign w:val="center"/>
            <w:shd w:fill="FFFFFF"/>
          </w:tcPr>
          <w:p>
            <w:pPr>
              <w:keepNext w:val="0"/>
              <w:spacing w:after="0" w:line="269" w:lineRule="auto"/>
              <w:jc w:val="center"/>
            </w:pPr>
            <w:r>
              <w:rPr>
                <w:b w:val="0"/>
                <w:sz w:val="19"/>
              </w:rPr>
              <w:t>样本外、换手、拥挤度</w:t>
            </w:r>
          </w:p>
        </w:tc>
      </w:tr>
      <w:tr>
        <w:trPr>
          <w:cantSplit/>
        </w:trPr>
        <w:tc>
          <w:tcPr>
            <w:tcW w:type="dxa" w:w="1587"/>
            <w:vAlign w:val="center"/>
            <w:shd w:fill="FFFFFF"/>
          </w:tcPr>
          <w:p>
            <w:pPr>
              <w:keepNext w:val="0"/>
              <w:spacing w:after="0" w:line="269" w:lineRule="auto"/>
              <w:jc w:val="center"/>
            </w:pPr>
            <w:r>
              <w:rPr>
                <w:b w:val="0"/>
                <w:sz w:val="19"/>
              </w:rPr>
              <w:t>FOF 与 MOM</w:t>
            </w:r>
          </w:p>
        </w:tc>
        <w:tc>
          <w:tcPr>
            <w:tcW w:type="dxa" w:w="3912"/>
            <w:vAlign w:val="center"/>
            <w:shd w:fill="FFFFFF"/>
          </w:tcPr>
          <w:p>
            <w:pPr>
              <w:keepNext w:val="0"/>
              <w:spacing w:after="0" w:line="269" w:lineRule="auto"/>
              <w:jc w:val="center"/>
            </w:pPr>
            <w:r>
              <w:rPr>
                <w:b w:val="0"/>
                <w:sz w:val="19"/>
              </w:rPr>
              <w:t>资产配置及管理人选择归因</w:t>
            </w:r>
          </w:p>
        </w:tc>
        <w:tc>
          <w:tcPr>
            <w:tcW w:type="dxa" w:w="3969"/>
            <w:vAlign w:val="center"/>
            <w:shd w:fill="FFFFFF"/>
          </w:tcPr>
          <w:p>
            <w:pPr>
              <w:keepNext w:val="0"/>
              <w:spacing w:after="0" w:line="269" w:lineRule="auto"/>
              <w:jc w:val="center"/>
            </w:pPr>
            <w:r>
              <w:rPr>
                <w:b w:val="0"/>
                <w:sz w:val="19"/>
              </w:rPr>
              <w:t>穿透后暴露重叠、双重费用</w:t>
            </w:r>
          </w:p>
        </w:tc>
      </w:tr>
    </w:tbl>
    <w:p>
      <w:pPr>
        <w:spacing w:after="0"/>
      </w:pPr>
    </w:p>
    <w:p>
      <w:pPr>
        <w:pStyle w:val="Heading1"/>
        <w:pageBreakBefore/>
      </w:pPr>
      <w:r>
        <w:rPr>
          <w:color w:val="000000"/>
        </w:rPr>
        <w:t>七 持续风险监控与预警</w:t>
      </w:r>
    </w:p>
    <w:p>
      <w:r>
        <w:rPr>
          <w:color w:val="000000"/>
        </w:rPr>
        <w:t>预警的目的是识别偏离并触发复核。可以借鉴 Green Zone 的分区思路，持续比较实际主动风险和预期主动收益。下列阈值是可供讨论的内部规则示例，需要根据策略、历史分布和风险容忍度校准，并非统一行业标准。</w:t>
      </w:r>
    </w:p>
    <w:p>
      <w:pPr>
        <w:pStyle w:val="Heading2"/>
      </w:pPr>
      <w:r>
        <w:rPr>
          <w:color w:val="000000"/>
        </w:rPr>
        <w:t>1 主动风险相对预算的偏离</w:t>
      </w:r>
    </w:p>
    <w:p>
      <w:pPr>
        <w:keepLines/>
        <w:spacing w:before="60" w:after="140"/>
        <w:jc w:val="center"/>
      </w:pPr>
      <m:oMathPara>
        <m:oMath>
          <m:r>
            <w:rPr>
              <w:rFonts w:ascii="Cambria Math" w:hAnsi="Cambria Math"/>
              <w:sz w:val="22"/>
            </w:rPr>
            <m:t>风险倍数 = </m:t>
          </m:r>
          <m:f>
            <m:num>
              <m:sSub>
                <m:e>
                  <m:r>
                    <w:rPr>
                      <w:rFonts w:ascii="Cambria Math" w:hAnsi="Cambria Math"/>
                      <w:sz w:val="22"/>
                    </w:rPr>
                    <m:t>TE</m:t>
                  </m:r>
                </m:e>
                <m:sub>
                  <m:r>
                    <w:rPr>
                      <w:rFonts w:ascii="Cambria Math" w:hAnsi="Cambria Math"/>
                      <w:sz w:val="22"/>
                    </w:rPr>
                    <m:t>realized,ann</m:t>
                  </m:r>
                </m:sub>
              </m:sSub>
            </m:num>
            <m:den>
              <m:sSub>
                <m:e>
                  <m:r>
                    <w:rPr>
                      <w:rFonts w:ascii="Cambria Math" w:hAnsi="Cambria Math"/>
                      <w:sz w:val="22"/>
                    </w:rPr>
                    <m:t>TE</m:t>
                  </m:r>
                </m:e>
                <m:sub>
                  <m:r>
                    <w:rPr>
                      <w:rFonts w:ascii="Cambria Math" w:hAnsi="Cambria Math"/>
                      <w:sz w:val="22"/>
                    </w:rPr>
                    <m:t>target,ann</m:t>
                  </m:r>
                </m:sub>
              </m:sSub>
            </m:den>
          </m:f>
        </m:oMath>
      </m:oMathPara>
    </w:p>
    <w:p>
      <w:r>
        <w:rPr>
          <w:color w:val="000000"/>
        </w:rPr>
        <w:t>用过去 20 和 60 个交易日的主动收益分别估计实现 TE，再统一年化后与目标 TE 比较。短窗口噪声较大；目标 TE 为零时，该比值不可用。事后实现风险与模型预测风险应分别保留，不能互相替代。</w:t>
      </w:r>
    </w:p>
    <w:p>
      <w:pPr>
        <w:pStyle w:val="Heading2"/>
      </w:pPr>
      <w:r>
        <w:rPr>
          <w:color w:val="000000"/>
        </w:rPr>
        <w:t>2 按期限标准化收益偏离</w:t>
      </w:r>
    </w:p>
    <w:p>
      <w:r>
        <w:rPr>
          <w:color w:val="000000"/>
        </w:rPr>
        <w:t>将 h 个交易日的算术主动收益之和作为监控量，年度预算主动收益为 μ，年度目标跟踪误差为 TE，K 为全年交易日数。在独立同分布近似下，收益预算按时间缩放，风险按时间平方根缩放。</w:t>
      </w:r>
    </w:p>
    <w:p>
      <w:pPr>
        <w:keepLines/>
        <w:spacing w:before="60" w:after="140"/>
        <w:jc w:val="center"/>
      </w:pPr>
      <m:oMathPara>
        <m:oMath>
          <m:sSub>
            <m:e>
              <m:r>
                <w:rPr>
                  <w:rFonts w:ascii="Cambria Math" w:hAnsi="Cambria Math"/>
                  <w:sz w:val="22"/>
                </w:rPr>
                <m:t>z</m:t>
              </m:r>
            </m:e>
            <m:sub>
              <m:r>
                <w:rPr>
                  <w:rFonts w:ascii="Cambria Math" w:hAnsi="Cambria Math"/>
                  <w:sz w:val="22"/>
                </w:rPr>
                <m:t>h</m:t>
              </m:r>
            </m:sub>
          </m:sSub>
          <m:r>
            <w:rPr>
              <w:rFonts w:ascii="Cambria Math" w:hAnsi="Cambria Math"/>
              <w:sz w:val="22"/>
            </w:rPr>
            <m:t> = </m:t>
          </m:r>
          <m:f>
            <m:num>
              <m:nary>
                <m:naryPr>
                  <m:chr m:val="∑"/>
                  <m:limLoc m:val="subSup"/>
                </m:naryPr>
                <m:sub>
                  <m:r>
                    <w:rPr>
                      <w:rFonts w:ascii="Cambria Math" w:hAnsi="Cambria Math"/>
                      <w:sz w:val="22"/>
                    </w:rPr>
                    <m:t>t=1</m:t>
                  </m:r>
                </m:sub>
                <m:sup>
                  <m:r>
                    <w:rPr>
                      <w:rFonts w:ascii="Cambria Math" w:hAnsi="Cambria Math"/>
                      <w:sz w:val="22"/>
                    </w:rPr>
                    <m:t>h</m:t>
                  </m:r>
                </m:sup>
                <m:e>
                  <m:sSub>
                    <m:e>
                      <m:r>
                        <w:rPr>
                          <w:rFonts w:ascii="Cambria Math" w:hAnsi="Cambria Math"/>
                          <w:sz w:val="22"/>
                        </w:rPr>
                        <m:t>a</m:t>
                      </m:r>
                    </m:e>
                    <m:sub>
                      <m:r>
                        <w:rPr>
                          <w:rFonts w:ascii="Cambria Math" w:hAnsi="Cambria Math"/>
                          <w:sz w:val="22"/>
                        </w:rPr>
                        <m:t>t</m:t>
                      </m:r>
                    </m:sub>
                  </m:sSub>
                </m:e>
              </m:nary>
              <m:r>
                <w:rPr>
                  <w:rFonts w:ascii="Cambria Math" w:hAnsi="Cambria Math"/>
                  <w:sz w:val="22"/>
                </w:rPr>
                <m:t> − </m:t>
              </m:r>
              <m:sSub>
                <m:e>
                  <m:r>
                    <w:rPr>
                      <w:rFonts w:ascii="Cambria Math" w:hAnsi="Cambria Math"/>
                      <w:sz w:val="22"/>
                    </w:rPr>
                    <m:t>μ</m:t>
                  </m:r>
                </m:e>
                <m:sub>
                  <m:r>
                    <w:rPr>
                      <w:rFonts w:ascii="Cambria Math" w:hAnsi="Cambria Math"/>
                      <w:sz w:val="22"/>
                    </w:rPr>
                    <m:t>ann</m:t>
                  </m:r>
                </m:sub>
              </m:sSub>
              <m:r>
                <w:rPr>
                  <w:rFonts w:ascii="Cambria Math" w:hAnsi="Cambria Math"/>
                  <w:sz w:val="22"/>
                </w:rPr>
                <m:t> × h/K</m:t>
              </m:r>
            </m:num>
            <m:den>
              <m:sSub>
                <m:e>
                  <m:r>
                    <w:rPr>
                      <w:rFonts w:ascii="Cambria Math" w:hAnsi="Cambria Math"/>
                      <w:sz w:val="22"/>
                    </w:rPr>
                    <m:t>TE</m:t>
                  </m:r>
                </m:e>
                <m:sub>
                  <m:r>
                    <w:rPr>
                      <w:rFonts w:ascii="Cambria Math" w:hAnsi="Cambria Math"/>
                      <w:sz w:val="22"/>
                    </w:rPr>
                    <m:t>target,ann</m:t>
                  </m:r>
                </m:sub>
              </m:sSub>
              <m:rad>
                <m:radPr>
                  <m:degHide m:val="1"/>
                </m:radPr>
                <m:deg/>
                <m:e>
                  <m:r>
                    <w:rPr>
                      <w:rFonts w:ascii="Cambria Math" w:hAnsi="Cambria Math"/>
                      <w:sz w:val="22"/>
                    </w:rPr>
                    <m:t>h/K</m:t>
                  </m:r>
                </m:e>
              </m:rad>
            </m:den>
          </m:f>
        </m:oMath>
      </m:oMathPara>
    </w:p>
    <w:p>
      <w:r>
        <w:rPr>
          <w:color w:val="000000"/>
        </w:rPr>
        <w:t>该 z 值用于诊断，不能直接解释为严格的概率或因果结论。若改用复利超额收益，或收益存在明显自相关，应重新估计同期限均值与方差，不可沿用上式分母。</w:t>
      </w:r>
    </w:p>
    <w:p>
      <w:r>
        <w:rPr>
          <w:color w:val="000000"/>
        </w:rPr>
        <w:t>演示：目标年化主动收益为 3%，目标年化 TE 为 4%，按 K = 252、h = 21 计算，一个月预算主动收益约为 0.25%，目标风险约为 1.155%。若实际月内算术主动收益合计为 −2.00%，则 z 约为 −1.95。</w:t>
      </w:r>
    </w:p>
    <w:p>
      <w:pPr>
        <w:pStyle w:val="Heading2"/>
      </w:pPr>
      <w:r>
        <w:rPr>
          <w:color w:val="000000"/>
        </w:rPr>
        <w:t>3 分区阈值与管理动作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247"/>
        <w:gridCol w:w="4139"/>
        <w:gridCol w:w="4082"/>
      </w:tblGrid>
      <w:tr>
        <w:trPr>
          <w:cantSplit/>
          <w:tblHeader/>
        </w:trPr>
        <w:tc>
          <w:tcPr>
            <w:tcW w:type="dxa" w:w="1247"/>
            <w:vAlign w:val="center"/>
            <w:shd w:fill="DFE8F0"/>
          </w:tcPr>
          <w:p>
            <w:pPr>
              <w:keepNext/>
              <w:spacing w:after="0" w:line="269" w:lineRule="auto"/>
              <w:jc w:val="center"/>
            </w:pPr>
            <w:r>
              <w:rPr>
                <w:b/>
                <w:sz w:val="19"/>
              </w:rPr>
              <w:t>状态</w:t>
            </w:r>
          </w:p>
        </w:tc>
        <w:tc>
          <w:tcPr>
            <w:tcW w:type="dxa" w:w="4139"/>
            <w:vAlign w:val="center"/>
            <w:shd w:fill="DFE8F0"/>
          </w:tcPr>
          <w:p>
            <w:pPr>
              <w:keepNext/>
              <w:spacing w:after="0" w:line="269" w:lineRule="auto"/>
              <w:jc w:val="center"/>
            </w:pPr>
            <w:r>
              <w:rPr>
                <w:b/>
                <w:sz w:val="19"/>
              </w:rPr>
              <w:t>演示触发条件</w:t>
            </w:r>
          </w:p>
        </w:tc>
        <w:tc>
          <w:tcPr>
            <w:tcW w:type="dxa" w:w="4082"/>
            <w:vAlign w:val="center"/>
            <w:shd w:fill="DFE8F0"/>
          </w:tcPr>
          <w:p>
            <w:pPr>
              <w:keepNext/>
              <w:spacing w:after="0" w:line="269" w:lineRule="auto"/>
              <w:jc w:val="center"/>
            </w:pPr>
            <w:r>
              <w:rPr>
                <w:b/>
                <w:sz w:val="19"/>
              </w:rPr>
              <w:t>跟进行动</w:t>
            </w:r>
          </w:p>
        </w:tc>
      </w:tr>
      <w:tr>
        <w:trPr>
          <w:cantSplit/>
        </w:trPr>
        <w:tc>
          <w:tcPr>
            <w:tcW w:type="dxa" w:w="1247"/>
            <w:vAlign w:val="center"/>
            <w:shd w:fill="FFFFFF"/>
          </w:tcPr>
          <w:p>
            <w:pPr>
              <w:keepNext w:val="0"/>
              <w:spacing w:after="0" w:line="269" w:lineRule="auto"/>
              <w:jc w:val="center"/>
            </w:pPr>
            <w:r>
              <w:rPr>
                <w:b w:val="0"/>
                <w:sz w:val="19"/>
              </w:rPr>
              <w:t>Green</w:t>
            </w:r>
          </w:p>
        </w:tc>
        <w:tc>
          <w:tcPr>
            <w:tcW w:type="dxa" w:w="4139"/>
            <w:vAlign w:val="center"/>
            <w:shd w:fill="FFFFFF"/>
          </w:tcPr>
          <w:p>
            <w:pPr>
              <w:keepNext w:val="0"/>
              <w:spacing w:after="0" w:line="269" w:lineRule="auto"/>
            </w:pPr>
            <w:r>
              <w:rPr>
                <w:b w:val="0"/>
                <w:sz w:val="19"/>
              </w:rPr>
              <w:t>风险倍数 0.8 至 1.2，且 |z| &lt; 2</w:t>
            </w:r>
          </w:p>
        </w:tc>
        <w:tc>
          <w:tcPr>
            <w:tcW w:type="dxa" w:w="4082"/>
            <w:vAlign w:val="center"/>
            <w:shd w:fill="FFFFFF"/>
          </w:tcPr>
          <w:p>
            <w:pPr>
              <w:keepNext w:val="0"/>
              <w:spacing w:after="0" w:line="269" w:lineRule="auto"/>
            </w:pPr>
            <w:r>
              <w:rPr>
                <w:b w:val="0"/>
                <w:sz w:val="19"/>
              </w:rPr>
              <w:t>常规跟踪，记录原因与数据质量</w:t>
            </w:r>
          </w:p>
        </w:tc>
      </w:tr>
      <w:tr>
        <w:trPr>
          <w:cantSplit/>
        </w:trPr>
        <w:tc>
          <w:tcPr>
            <w:tcW w:type="dxa" w:w="1247"/>
            <w:vAlign w:val="center"/>
            <w:shd w:fill="FFFFFF"/>
          </w:tcPr>
          <w:p>
            <w:pPr>
              <w:keepNext w:val="0"/>
              <w:spacing w:after="0" w:line="269" w:lineRule="auto"/>
              <w:jc w:val="center"/>
            </w:pPr>
            <w:r>
              <w:rPr>
                <w:b w:val="0"/>
                <w:sz w:val="19"/>
              </w:rPr>
              <w:t>Yellow</w:t>
            </w:r>
          </w:p>
        </w:tc>
        <w:tc>
          <w:tcPr>
            <w:tcW w:type="dxa" w:w="4139"/>
            <w:vAlign w:val="center"/>
            <w:shd w:fill="FFFFFF"/>
          </w:tcPr>
          <w:p>
            <w:pPr>
              <w:keepNext w:val="0"/>
              <w:spacing w:after="0" w:line="269" w:lineRule="auto"/>
            </w:pPr>
            <w:r>
              <w:rPr>
                <w:b w:val="0"/>
                <w:sz w:val="19"/>
              </w:rPr>
              <w:t>未达 Red，但任一指标超出 Green</w:t>
            </w:r>
          </w:p>
        </w:tc>
        <w:tc>
          <w:tcPr>
            <w:tcW w:type="dxa" w:w="4082"/>
            <w:vAlign w:val="center"/>
            <w:shd w:fill="FFFFFF"/>
          </w:tcPr>
          <w:p>
            <w:pPr>
              <w:keepNext w:val="0"/>
              <w:spacing w:after="0" w:line="269" w:lineRule="auto"/>
            </w:pPr>
            <w:r>
              <w:rPr>
                <w:b w:val="0"/>
                <w:sz w:val="19"/>
              </w:rPr>
              <w:t>核查风格、集中度、交易与估值</w:t>
            </w:r>
          </w:p>
        </w:tc>
      </w:tr>
      <w:tr>
        <w:trPr>
          <w:cantSplit/>
        </w:trPr>
        <w:tc>
          <w:tcPr>
            <w:tcW w:type="dxa" w:w="1247"/>
            <w:vAlign w:val="center"/>
            <w:shd w:fill="FFFFFF"/>
          </w:tcPr>
          <w:p>
            <w:pPr>
              <w:keepNext w:val="0"/>
              <w:spacing w:after="0" w:line="269" w:lineRule="auto"/>
              <w:jc w:val="center"/>
            </w:pPr>
            <w:r>
              <w:rPr>
                <w:b w:val="0"/>
                <w:sz w:val="19"/>
              </w:rPr>
              <w:t>Red</w:t>
            </w:r>
          </w:p>
        </w:tc>
        <w:tc>
          <w:tcPr>
            <w:tcW w:type="dxa" w:w="4139"/>
            <w:vAlign w:val="center"/>
            <w:shd w:fill="FFFFFF"/>
          </w:tcPr>
          <w:p>
            <w:pPr>
              <w:keepNext w:val="0"/>
              <w:spacing w:after="0" w:line="269" w:lineRule="auto"/>
            </w:pPr>
            <w:r>
              <w:rPr>
                <w:b w:val="0"/>
                <w:sz w:val="19"/>
              </w:rPr>
              <w:t>风险倍数 &gt; 1.5，或 |z| ≥ 3</w:t>
            </w:r>
          </w:p>
        </w:tc>
        <w:tc>
          <w:tcPr>
            <w:tcW w:type="dxa" w:w="4082"/>
            <w:vAlign w:val="center"/>
            <w:shd w:fill="FFFFFF"/>
          </w:tcPr>
          <w:p>
            <w:pPr>
              <w:keepNext w:val="0"/>
              <w:spacing w:after="0" w:line="269" w:lineRule="auto"/>
            </w:pPr>
            <w:r>
              <w:rPr>
                <w:b w:val="0"/>
                <w:sz w:val="19"/>
              </w:rPr>
              <w:t>正式复盘授权、风险预算及模型</w:t>
            </w:r>
          </w:p>
        </w:tc>
      </w:tr>
      <w:tr>
        <w:trPr>
          <w:cantSplit/>
        </w:trPr>
        <w:tc>
          <w:tcPr>
            <w:tcW w:type="dxa" w:w="1247"/>
            <w:vAlign w:val="center"/>
            <w:shd w:fill="FFFFFF"/>
          </w:tcPr>
          <w:p>
            <w:pPr>
              <w:keepNext w:val="0"/>
              <w:spacing w:after="0" w:line="269" w:lineRule="auto"/>
              <w:jc w:val="center"/>
            </w:pPr>
            <w:r>
              <w:rPr>
                <w:b w:val="0"/>
                <w:sz w:val="19"/>
              </w:rPr>
              <w:t>连续 Red</w:t>
            </w:r>
          </w:p>
        </w:tc>
        <w:tc>
          <w:tcPr>
            <w:tcW w:type="dxa" w:w="4139"/>
            <w:vAlign w:val="center"/>
            <w:shd w:fill="FFFFFF"/>
          </w:tcPr>
          <w:p>
            <w:pPr>
              <w:keepNext w:val="0"/>
              <w:spacing w:after="0" w:line="269" w:lineRule="auto"/>
            </w:pPr>
            <w:r>
              <w:rPr>
                <w:b w:val="0"/>
                <w:sz w:val="19"/>
              </w:rPr>
              <w:t>多个预先规定的监控期持续触发</w:t>
            </w:r>
          </w:p>
        </w:tc>
        <w:tc>
          <w:tcPr>
            <w:tcW w:type="dxa" w:w="4082"/>
            <w:vAlign w:val="center"/>
            <w:shd w:fill="FFFFFF"/>
          </w:tcPr>
          <w:p>
            <w:pPr>
              <w:keepNext w:val="0"/>
              <w:spacing w:after="0" w:line="269" w:lineRule="auto"/>
            </w:pPr>
            <w:r>
              <w:rPr>
                <w:b w:val="0"/>
                <w:sz w:val="19"/>
              </w:rPr>
              <w:t>复核是否调整风险、限制或管理安排</w:t>
            </w:r>
          </w:p>
        </w:tc>
      </w:tr>
    </w:tbl>
    <w:p>
      <w:pPr>
        <w:spacing w:after="0"/>
      </w:pPr>
    </w:p>
    <w:p>
      <w:r>
        <w:rPr>
          <w:color w:val="000000"/>
        </w:rPr>
        <w:t>两项指标触发不同状态时，以较高等级开展复核。过低 TE 可能意味着风险预算未使用或仓位变化；异常高收益同样可能暴露隐含杠杆、集中押注或估值异常，因此收益偏离采用双侧检查。</w:t>
      </w:r>
    </w:p>
    <w:p>
      <w:r>
        <w:rPr>
          <w:color w:val="000000"/>
        </w:rPr>
        <w:t>每日关注仓位、杠杆和流动性；每周或每月更新预警区间；每月完成收益及成本对账；每季复查基准、风格和模型稳定性。各频率应匹配数据质量和策略持有周期。</w:t>
      </w:r>
    </w:p>
    <w:p>
      <w:pPr>
        <w:pStyle w:val="Heading1"/>
        <w:pageBreakBefore/>
      </w:pPr>
      <w:r>
        <w:rPr>
          <w:color w:val="000000"/>
        </w:rPr>
        <w:t>八 下行风险与尾部风险</w:t>
      </w:r>
    </w:p>
    <w:p>
      <w:r>
        <w:rPr>
          <w:color w:val="000000"/>
        </w:rPr>
        <w:t>波动率不能完整刻画不对称收益、跳跃损失和流动性冲击。Sortino、Calmar、VaR 与 ES 分别补充下行波动、回撤与尾部分布视角，适合作为绩效与风险评估的补充，不能互相替代。</w:t>
      </w:r>
    </w:p>
    <w:p>
      <w:pPr>
        <w:pStyle w:val="Heading2"/>
      </w:pPr>
      <w:r>
        <w:rPr>
          <w:color w:val="000000"/>
        </w:rPr>
        <w:t>1 Sortino 与 Calmar</w:t>
      </w:r>
    </w:p>
    <w:p>
      <w:pPr>
        <w:keepLines/>
        <w:spacing w:before="60" w:after="140"/>
        <w:jc w:val="center"/>
      </w:pPr>
      <m:oMathPara>
        <m:oMath>
          <m:sSub>
            <m:e>
              <m:r>
                <w:rPr>
                  <w:rFonts w:ascii="Cambria Math" w:hAnsi="Cambria Math"/>
                  <w:sz w:val="22"/>
                </w:rPr>
                <m:t>DD</m:t>
              </m:r>
            </m:e>
            <m:sub>
              <m:r>
                <w:rPr>
                  <w:rFonts w:ascii="Cambria Math" w:hAnsi="Cambria Math"/>
                  <w:sz w:val="22"/>
                </w:rPr>
                <m:t>period</m:t>
              </m:r>
            </m:sub>
          </m:sSub>
          <m:r>
            <w:rPr>
              <w:rFonts w:ascii="Cambria Math" w:hAnsi="Cambria Math"/>
              <w:sz w:val="22"/>
            </w:rPr>
            <m:t> = </m:t>
          </m:r>
          <m:rad>
            <m:radPr>
              <m:degHide m:val="1"/>
            </m:radPr>
            <m:deg/>
            <m:e>
              <m:f>
                <m:num>
                  <m:nary>
                    <m:naryPr>
                      <m:chr m:val="∑"/>
                      <m:limLoc m:val="subSup"/>
                    </m:naryPr>
                    <m:sub>
                      <m:r>
                        <w:rPr>
                          <w:rFonts w:ascii="Cambria Math" w:hAnsi="Cambria Math"/>
                          <w:sz w:val="22"/>
                        </w:rPr>
                        <m:t>t=1</m:t>
                      </m:r>
                    </m:sub>
                    <m:sup>
                      <m:r>
                        <w:rPr>
                          <w:rFonts w:ascii="Cambria Math" w:hAnsi="Cambria Math"/>
                          <w:sz w:val="22"/>
                        </w:rPr>
                        <m:t>n</m:t>
                      </m:r>
                    </m:sup>
                    <m:e>
                      <m:sSup>
                        <m:e>
                          <m:r>
                            <w:rPr>
                              <w:rFonts w:ascii="Cambria Math" w:hAnsi="Cambria Math"/>
                              <w:sz w:val="22"/>
                            </w:rPr>
                            <m:t>min(</m:t>
                          </m:r>
                          <m:sSub>
                            <m:e>
                              <m:r>
                                <w:rPr>
                                  <w:rFonts w:ascii="Cambria Math" w:hAnsi="Cambria Math"/>
                                  <w:sz w:val="22"/>
                                </w:rPr>
                                <m:t>r</m:t>
                              </m:r>
                            </m:e>
                            <m:sub>
                              <m:r>
                                <w:rPr>
                                  <w:rFonts w:ascii="Cambria Math" w:hAnsi="Cambria Math"/>
                                  <w:sz w:val="22"/>
                                </w:rPr>
                                <m:t>p,t</m:t>
                              </m:r>
                            </m:sub>
                          </m:sSub>
                          <m:r>
                            <w:rPr>
                              <w:rFonts w:ascii="Cambria Math" w:hAnsi="Cambria Math"/>
                              <w:sz w:val="22"/>
                            </w:rPr>
                            <m:t> − </m:t>
                          </m:r>
                          <m:sSub>
                            <m:e>
                              <m:r>
                                <w:rPr>
                                  <w:rFonts w:ascii="Cambria Math" w:hAnsi="Cambria Math"/>
                                  <w:sz w:val="22"/>
                                </w:rPr>
                                <m:t>MAR</m:t>
                              </m:r>
                            </m:e>
                            <m:sub>
                              <m:r>
                                <w:rPr>
                                  <w:rFonts w:ascii="Cambria Math" w:hAnsi="Cambria Math"/>
                                  <w:sz w:val="22"/>
                                </w:rPr>
                                <m:t>t</m:t>
                              </m:r>
                            </m:sub>
                          </m:sSub>
                          <m:r>
                            <w:rPr>
                              <w:rFonts w:ascii="Cambria Math" w:hAnsi="Cambria Math"/>
                              <w:sz w:val="22"/>
                            </w:rPr>
                            <m:t>, 0)</m:t>
                          </m:r>
                        </m:e>
                        <m:sup>
                          <m:r>
                            <w:rPr>
                              <w:rFonts w:ascii="Cambria Math" w:hAnsi="Cambria Math"/>
                              <w:sz w:val="22"/>
                            </w:rPr>
                            <m:t>2</m:t>
                          </m:r>
                        </m:sup>
                      </m:sSup>
                    </m:e>
                  </m:nary>
                </m:num>
                <m:den>
                  <m:r>
                    <w:rPr>
                      <w:rFonts w:ascii="Cambria Math" w:hAnsi="Cambria Math"/>
                      <w:sz w:val="22"/>
                    </w:rPr>
                    <m:t>n</m:t>
                  </m:r>
                </m:den>
              </m:f>
            </m:e>
          </m:rad>
        </m:oMath>
      </m:oMathPara>
    </w:p>
    <w:p>
      <w:pPr>
        <w:keepLines/>
        <w:spacing w:before="60" w:after="140"/>
        <w:jc w:val="center"/>
      </w:pPr>
      <m:oMathPara>
        <m:oMath>
          <m:sSub>
            <m:e>
              <m:r>
                <w:rPr>
                  <w:rFonts w:ascii="Cambria Math" w:hAnsi="Cambria Math"/>
                  <w:sz w:val="22"/>
                </w:rPr>
                <m:t>Sortino</m:t>
              </m:r>
            </m:e>
            <m:sub>
              <m:r>
                <w:rPr>
                  <w:rFonts w:ascii="Cambria Math" w:hAnsi="Cambria Math"/>
                  <w:sz w:val="22"/>
                </w:rPr>
                <m:t>ann</m:t>
              </m:r>
            </m:sub>
          </m:sSub>
          <m:r>
            <w:rPr>
              <w:rFonts w:ascii="Cambria Math" w:hAnsi="Cambria Math"/>
              <w:sz w:val="22"/>
            </w:rPr>
            <m:t> = </m:t>
          </m:r>
          <m:f>
            <m:num>
              <m:bar>
                <m:barPr>
                  <m:pos m:val="top"/>
                </m:barPr>
                <m:e>
                  <m:sSub>
                    <m:e>
                      <m:r>
                        <w:rPr>
                          <w:rFonts w:ascii="Cambria Math" w:hAnsi="Cambria Math"/>
                          <w:sz w:val="22"/>
                        </w:rPr>
                        <m:t>r</m:t>
                      </m:r>
                    </m:e>
                    <m:sub>
                      <m:r>
                        <w:rPr>
                          <w:rFonts w:ascii="Cambria Math" w:hAnsi="Cambria Math"/>
                          <w:sz w:val="22"/>
                        </w:rPr>
                        <m:t>p</m:t>
                      </m:r>
                    </m:sub>
                  </m:sSub>
                  <m:r>
                    <w:rPr>
                      <w:rFonts w:ascii="Cambria Math" w:hAnsi="Cambria Math"/>
                      <w:sz w:val="22"/>
                    </w:rPr>
                    <m:t> − MAR</m:t>
                  </m:r>
                </m:e>
              </m:bar>
            </m:num>
            <m:den>
              <m:sSub>
                <m:e>
                  <m:r>
                    <w:rPr>
                      <w:rFonts w:ascii="Cambria Math" w:hAnsi="Cambria Math"/>
                      <w:sz w:val="22"/>
                    </w:rPr>
                    <m:t>DD</m:t>
                  </m:r>
                </m:e>
                <m:sub>
                  <m:r>
                    <w:rPr>
                      <w:rFonts w:ascii="Cambria Math" w:hAnsi="Cambria Math"/>
                      <w:sz w:val="22"/>
                    </w:rPr>
                    <m:t>period</m:t>
                  </m:r>
                </m:sub>
              </m:sSub>
            </m:den>
          </m:f>
          <m:rad>
            <m:radPr>
              <m:degHide m:val="1"/>
            </m:radPr>
            <m:deg/>
            <m:e>
              <m:r>
                <w:rPr>
                  <w:rFonts w:ascii="Cambria Math" w:hAnsi="Cambria Math"/>
                  <w:sz w:val="22"/>
                </w:rPr>
                <m:t>K</m:t>
              </m:r>
            </m:e>
          </m:rad>
          <m:r>
            <w:rPr>
              <w:rFonts w:ascii="Cambria Math" w:hAnsi="Cambria Math"/>
              <w:sz w:val="22"/>
            </w:rPr>
            <m:t>;    Calmar = </m:t>
          </m:r>
          <m:f>
            <m:num>
              <m:sSub>
                <m:e>
                  <m:r>
                    <w:rPr>
                      <w:rFonts w:ascii="Cambria Math" w:hAnsi="Cambria Math"/>
                      <w:sz w:val="22"/>
                    </w:rPr>
                    <m:t>R</m:t>
                  </m:r>
                </m:e>
                <m:sub>
                  <m:r>
                    <w:rPr>
                      <w:rFonts w:ascii="Cambria Math" w:hAnsi="Cambria Math"/>
                      <w:sz w:val="22"/>
                    </w:rPr>
                    <m:t>ann</m:t>
                  </m:r>
                </m:sub>
              </m:sSub>
            </m:num>
            <m:den>
              <m:r>
                <w:rPr>
                  <w:rFonts w:ascii="Cambria Math" w:hAnsi="Cambria Math"/>
                  <w:sz w:val="22"/>
                </w:rPr>
                <m:t>MDD</m:t>
              </m:r>
            </m:den>
          </m:f>
        </m:oMath>
      </m:oMathPara>
    </w:p>
    <w:p>
      <w:r>
        <w:rPr>
          <w:color w:val="000000"/>
        </w:rPr>
        <w:t>MAR 为同频最低可接受收益，需事前指定。本文下行偏差用全样本期数 n 作分母，非负偏差按零计入。Calmar 使用同一观察区间的年化几何收益与最大回撤正值；若样本内回撤为零，不报告无穷大排名。</w:t>
      </w:r>
    </w:p>
    <w:p>
      <w:pPr>
        <w:pStyle w:val="Heading2"/>
      </w:pPr>
      <w:r>
        <w:rPr>
          <w:color w:val="000000"/>
        </w:rPr>
        <w:t>2 VaR 是损失分位数而非最大损失</w:t>
      </w:r>
    </w:p>
    <w:p>
      <w:r>
        <w:rPr>
          <w:color w:val="000000"/>
        </w:rPr>
        <w:t>定义损失 L 为收益的相反数，在给定持有期和置信水平 c 下，VaR 为损失分布的 c 分位数。95% 的一天 VaR 不是“最多亏多少”，而是按所用模型和分布，仍约有 5% 的情形可能超过该阈值。[6]</w:t>
      </w:r>
    </w:p>
    <w:p>
      <w:pPr>
        <w:keepLines/>
        <w:spacing w:before="60" w:after="140"/>
        <w:jc w:val="center"/>
      </w:pPr>
      <m:oMathPara>
        <m:oMath>
          <m:sSub>
            <m:e>
              <m:r>
                <w:rPr>
                  <w:rFonts w:ascii="Cambria Math" w:hAnsi="Cambria Math"/>
                  <w:sz w:val="22"/>
                </w:rPr>
                <m:t>VaR</m:t>
              </m:r>
            </m:e>
            <m:sub>
              <m:r>
                <w:rPr>
                  <w:rFonts w:ascii="Cambria Math" w:hAnsi="Cambria Math"/>
                  <w:sz w:val="22"/>
                </w:rPr>
                <m:t>c</m:t>
              </m:r>
            </m:sub>
          </m:sSub>
          <m:r>
            <w:rPr>
              <w:rFonts w:ascii="Cambria Math" w:hAnsi="Cambria Math"/>
              <w:sz w:val="22"/>
            </w:rPr>
            <m:t> = </m:t>
          </m:r>
          <m:sSub>
            <m:e>
              <m:r>
                <w:rPr>
                  <w:rFonts w:ascii="Cambria Math" w:hAnsi="Cambria Math"/>
                  <w:sz w:val="22"/>
                </w:rPr>
                <m:t>Q</m:t>
              </m:r>
            </m:e>
            <m:sub>
              <m:r>
                <w:rPr>
                  <w:rFonts w:ascii="Cambria Math" w:hAnsi="Cambria Math"/>
                  <w:sz w:val="22"/>
                </w:rPr>
                <m:t>c</m:t>
              </m:r>
            </m:sub>
          </m:sSub>
          <m:r>
            <w:rPr>
              <w:rFonts w:ascii="Cambria Math" w:hAnsi="Cambria Math"/>
              <w:sz w:val="22"/>
            </w:rPr>
            <m:t>(L)</m:t>
          </m:r>
        </m:oMath>
      </m:oMathPara>
    </w:p>
    <w:p>
      <w:pPr>
        <w:pStyle w:val="Heading2"/>
      </w:pPr>
      <w:r>
        <w:rPr>
          <w:color w:val="000000"/>
        </w:rPr>
        <w:t>3 ES 关注最差尾部的平均损失</w:t>
      </w:r>
    </w:p>
    <w:p>
      <w:r>
        <w:rPr>
          <w:color w:val="000000"/>
        </w:rPr>
        <w:t>ES 衡量最差的 1 − c 比例结果中的平均损失。连续分布下可理解为超过 VaR 阈值后的平均损失；历史样本有并列或分位点落在样本之间时，应按尾部比例分配权重，避免随意更换分母。[6]</w:t>
      </w:r>
    </w:p>
    <w:p>
      <w:pPr>
        <w:keepLines/>
        <w:spacing w:before="60" w:after="140"/>
        <w:jc w:val="center"/>
      </w:pPr>
      <m:oMathPara>
        <m:oMath>
          <m:sSub>
            <m:e>
              <m:r>
                <w:rPr>
                  <w:rFonts w:ascii="Cambria Math" w:hAnsi="Cambria Math"/>
                  <w:sz w:val="22"/>
                </w:rPr>
                <m:t>ES</m:t>
              </m:r>
            </m:e>
            <m:sub>
              <m:r>
                <w:rPr>
                  <w:rFonts w:ascii="Cambria Math" w:hAnsi="Cambria Math"/>
                  <w:sz w:val="22"/>
                </w:rPr>
                <m:t>c</m:t>
              </m:r>
            </m:sub>
          </m:sSub>
          <m:r>
            <w:rPr>
              <w:rFonts w:ascii="Cambria Math" w:hAnsi="Cambria Math"/>
              <w:sz w:val="22"/>
            </w:rPr>
            <m:t> = E[L | L ≥ </m:t>
          </m:r>
          <m:sSub>
            <m:e>
              <m:r>
                <w:rPr>
                  <w:rFonts w:ascii="Cambria Math" w:hAnsi="Cambria Math"/>
                  <w:sz w:val="22"/>
                </w:rPr>
                <m:t>VaR</m:t>
              </m:r>
            </m:e>
            <m:sub>
              <m:r>
                <w:rPr>
                  <w:rFonts w:ascii="Cambria Math" w:hAnsi="Cambria Math"/>
                  <w:sz w:val="22"/>
                </w:rPr>
                <m:t>c</m:t>
              </m:r>
            </m:sub>
          </m:sSub>
          <m:r>
            <w:rPr>
              <w:rFonts w:ascii="Cambria Math" w:hAnsi="Cambria Math"/>
              <w:sz w:val="22"/>
            </w:rPr>
            <m:t>]  （连续分布）</m:t>
          </m:r>
        </m:oMath>
      </m:oMathPara>
    </w:p>
    <w:p>
      <w:pPr>
        <w:pStyle w:val="Heading2"/>
      </w:pPr>
      <w:r>
        <w:rPr>
          <w:color w:val="000000"/>
        </w:rPr>
        <w:t>4 历史模拟的执行步骤</w:t>
      </w:r>
    </w:p>
    <w:p>
      <w:r>
        <w:rPr>
          <w:color w:val="000000"/>
        </w:rPr>
        <w:t>第一步，固定持有期、置信水平、样本长度和损失定义。第二步，把历史风险因子变动施加到当前组合，计算情景损益；若只对历史净值收益排序，结果应标为历史组合经验风险，不能视为当前持仓的完整风险。第三步，按损失从小到大排序，取分位数及最差尾部均值。第四步，进行超限回测，并补充压力场景。</w:t>
      </w:r>
    </w:p>
    <w:p>
      <w:r>
        <w:rPr>
          <w:color w:val="000000"/>
        </w:rPr>
        <w:t>独立教学例：共有 100 个等权损失情景，95% 分位数按最近秩法取第 95 个。若该值为 2.0%，最差 5 个损失为 2.2%、2.5%、3.0%、4.0%、6.0%，则 VaR 为 2.0%，ES 为 3.54%。本金为 1,000 万元时，对应金额为 20 万元和 35.4 万元。这里不把该小样本当作实际尾部风险估计。</w:t>
      </w:r>
    </w:p>
    <w:p>
      <w:r>
        <w:rPr>
          <w:color w:val="000000"/>
        </w:rPr>
        <w:t>同时监控管理人是否增加同方向押注、不同产品是否共享同一隐含风险，以及市场波动和流动性是否恶化。压力测试应覆盖股市急跌、利率曲线变化、信用利差走阔和融资约束，不能只依赖历史正态波动。</w:t>
      </w:r>
    </w:p>
    <w:p>
      <w:pPr>
        <w:pStyle w:val="Heading1"/>
        <w:pageBreakBefore/>
      </w:pPr>
      <w:r>
        <w:rPr>
          <w:color w:val="000000"/>
        </w:rPr>
        <w:t>九 从原始数据到绩效结果</w:t>
      </w:r>
    </w:p>
    <w:p>
      <w:pPr>
        <w:pStyle w:val="Heading2"/>
      </w:pPr>
      <w:r>
        <w:rPr>
          <w:color w:val="000000"/>
        </w:rPr>
        <w:t>1 完整演示数据</w:t>
      </w:r>
    </w:p>
    <w:p>
      <w:r>
        <w:rPr>
          <w:color w:val="000000"/>
        </w:rPr>
        <w:t>以下为人为设定的 12 个月收益序列，用于展示计算步骤。假设无外部资金流、同一币种、已计入分红再投资，尚未扣除交易成本和管理费用。无风险月收益固定为 0.15%，所有计算先用小数完成，最后显示百分比。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737"/>
        <w:gridCol w:w="1587"/>
        <w:gridCol w:w="1587"/>
        <w:gridCol w:w="1587"/>
        <w:gridCol w:w="2041"/>
        <w:gridCol w:w="1928"/>
      </w:tblGrid>
      <w:tr>
        <w:trPr>
          <w:cantSplit/>
          <w:tblHeader/>
        </w:trPr>
        <w:tc>
          <w:tcPr>
            <w:tcW w:type="dxa" w:w="737"/>
            <w:vAlign w:val="center"/>
            <w:shd w:fill="DFE8F0"/>
          </w:tcPr>
          <w:p>
            <w:pPr>
              <w:keepNext/>
              <w:spacing w:after="0" w:line="269" w:lineRule="auto"/>
              <w:jc w:val="center"/>
            </w:pPr>
            <w:r>
              <w:rPr>
                <w:b/>
                <w:sz w:val="19"/>
              </w:rPr>
              <w:t>月份</w:t>
            </w:r>
          </w:p>
        </w:tc>
        <w:tc>
          <w:tcPr>
            <w:tcW w:type="dxa" w:w="1587"/>
            <w:vAlign w:val="center"/>
            <w:shd w:fill="DFE8F0"/>
          </w:tcPr>
          <w:p>
            <w:pPr>
              <w:keepNext/>
              <w:spacing w:after="0" w:line="269" w:lineRule="auto"/>
              <w:jc w:val="center"/>
            </w:pPr>
            <w:r>
              <w:rPr>
                <w:b/>
                <w:sz w:val="19"/>
              </w:rPr>
              <w:t>组合收益</w:t>
            </w:r>
          </w:p>
        </w:tc>
        <w:tc>
          <w:tcPr>
            <w:tcW w:type="dxa" w:w="1587"/>
            <w:vAlign w:val="center"/>
            <w:shd w:fill="DFE8F0"/>
          </w:tcPr>
          <w:p>
            <w:pPr>
              <w:keepNext/>
              <w:spacing w:after="0" w:line="269" w:lineRule="auto"/>
              <w:jc w:val="center"/>
            </w:pPr>
            <w:r>
              <w:rPr>
                <w:b/>
                <w:sz w:val="19"/>
              </w:rPr>
              <w:t>基准收益</w:t>
            </w:r>
          </w:p>
        </w:tc>
        <w:tc>
          <w:tcPr>
            <w:tcW w:type="dxa" w:w="1587"/>
            <w:vAlign w:val="center"/>
            <w:shd w:fill="DFE8F0"/>
          </w:tcPr>
          <w:p>
            <w:pPr>
              <w:keepNext/>
              <w:spacing w:after="0" w:line="269" w:lineRule="auto"/>
              <w:jc w:val="center"/>
            </w:pPr>
            <w:r>
              <w:rPr>
                <w:b/>
                <w:sz w:val="19"/>
              </w:rPr>
              <w:t>无风险收益</w:t>
            </w:r>
          </w:p>
        </w:tc>
        <w:tc>
          <w:tcPr>
            <w:tcW w:type="dxa" w:w="2041"/>
            <w:vAlign w:val="center"/>
            <w:shd w:fill="DFE8F0"/>
          </w:tcPr>
          <w:p>
            <w:pPr>
              <w:keepNext/>
              <w:spacing w:after="0" w:line="269" w:lineRule="auto"/>
              <w:jc w:val="center"/>
            </w:pPr>
            <w:r>
              <w:rPr>
                <w:b/>
                <w:sz w:val="19"/>
              </w:rPr>
              <w:t>主动收益百分点</w:t>
            </w:r>
          </w:p>
        </w:tc>
        <w:tc>
          <w:tcPr>
            <w:tcW w:type="dxa" w:w="1928"/>
            <w:vAlign w:val="center"/>
            <w:shd w:fill="DFE8F0"/>
          </w:tcPr>
          <w:p>
            <w:pPr>
              <w:keepNext/>
              <w:spacing w:after="0" w:line="269" w:lineRule="auto"/>
              <w:jc w:val="center"/>
            </w:pPr>
            <w:r>
              <w:rPr>
                <w:b/>
                <w:sz w:val="19"/>
              </w:rPr>
              <w:t>组合财富指数</w:t>
            </w:r>
          </w:p>
        </w:tc>
      </w:tr>
      <w:tr>
        <w:trPr>
          <w:cantSplit/>
        </w:trPr>
        <w:tc>
          <w:tcPr>
            <w:tcW w:type="dxa" w:w="737"/>
            <w:vAlign w:val="center"/>
            <w:shd w:fill="FFFFFF"/>
          </w:tcPr>
          <w:p>
            <w:pPr>
              <w:keepNext w:val="0"/>
              <w:spacing w:after="0" w:line="269" w:lineRule="auto"/>
              <w:jc w:val="center"/>
            </w:pPr>
            <w:r>
              <w:rPr>
                <w:b w:val="0"/>
                <w:sz w:val="19"/>
              </w:rPr>
              <w:t>1</w:t>
            </w:r>
          </w:p>
        </w:tc>
        <w:tc>
          <w:tcPr>
            <w:tcW w:type="dxa" w:w="1587"/>
            <w:vAlign w:val="center"/>
            <w:shd w:fill="FFFFFF"/>
          </w:tcPr>
          <w:p>
            <w:pPr>
              <w:keepNext w:val="0"/>
              <w:spacing w:after="0" w:line="269" w:lineRule="auto"/>
              <w:jc w:val="center"/>
            </w:pPr>
            <w:r>
              <w:rPr>
                <w:b w:val="0"/>
                <w:sz w:val="19"/>
              </w:rPr>
              <w:t>2.00%</w:t>
            </w:r>
          </w:p>
        </w:tc>
        <w:tc>
          <w:tcPr>
            <w:tcW w:type="dxa" w:w="1587"/>
            <w:vAlign w:val="center"/>
            <w:shd w:fill="FFFFFF"/>
          </w:tcPr>
          <w:p>
            <w:pPr>
              <w:keepNext w:val="0"/>
              <w:spacing w:after="0" w:line="269" w:lineRule="auto"/>
              <w:jc w:val="center"/>
            </w:pPr>
            <w:r>
              <w:rPr>
                <w:b w:val="0"/>
                <w:sz w:val="19"/>
              </w:rPr>
              <w:t>1.50%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1.020000</w:t>
            </w:r>
          </w:p>
        </w:tc>
      </w:tr>
      <w:tr>
        <w:trPr>
          <w:cantSplit/>
        </w:trPr>
        <w:tc>
          <w:tcPr>
            <w:tcW w:type="dxa" w:w="737"/>
            <w:vAlign w:val="center"/>
            <w:shd w:fill="FFFFFF"/>
          </w:tcPr>
          <w:p>
            <w:pPr>
              <w:keepNext w:val="0"/>
              <w:spacing w:after="0" w:line="269" w:lineRule="auto"/>
              <w:jc w:val="center"/>
            </w:pPr>
            <w:r>
              <w:rPr>
                <w:b w:val="0"/>
                <w:sz w:val="19"/>
              </w:rPr>
              <w:t>2</w:t>
            </w:r>
          </w:p>
        </w:tc>
        <w:tc>
          <w:tcPr>
            <w:tcW w:type="dxa" w:w="1587"/>
            <w:vAlign w:val="center"/>
            <w:shd w:fill="FFFFFF"/>
          </w:tcPr>
          <w:p>
            <w:pPr>
              <w:keepNext w:val="0"/>
              <w:spacing w:after="0" w:line="269" w:lineRule="auto"/>
              <w:jc w:val="center"/>
            </w:pPr>
            <w:r>
              <w:rPr>
                <w:b w:val="0"/>
                <w:sz w:val="19"/>
              </w:rPr>
              <w:t>-1.00%</w:t>
            </w:r>
          </w:p>
        </w:tc>
        <w:tc>
          <w:tcPr>
            <w:tcW w:type="dxa" w:w="1587"/>
            <w:vAlign w:val="center"/>
            <w:shd w:fill="FFFFFF"/>
          </w:tcPr>
          <w:p>
            <w:pPr>
              <w:keepNext w:val="0"/>
              <w:spacing w:after="0" w:line="269" w:lineRule="auto"/>
              <w:jc w:val="center"/>
            </w:pPr>
            <w:r>
              <w:rPr>
                <w:b w:val="0"/>
                <w:sz w:val="19"/>
              </w:rPr>
              <w:t>-1.20%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0.20</w:t>
            </w:r>
          </w:p>
        </w:tc>
        <w:tc>
          <w:tcPr>
            <w:tcW w:type="dxa" w:w="1928"/>
            <w:vAlign w:val="center"/>
            <w:shd w:fill="FFFFFF"/>
          </w:tcPr>
          <w:p>
            <w:pPr>
              <w:keepNext w:val="0"/>
              <w:spacing w:after="0" w:line="269" w:lineRule="auto"/>
              <w:jc w:val="center"/>
            </w:pPr>
            <w:r>
              <w:rPr>
                <w:b w:val="0"/>
                <w:sz w:val="19"/>
              </w:rPr>
              <w:t>1.009800</w:t>
            </w:r>
          </w:p>
        </w:tc>
      </w:tr>
      <w:tr>
        <w:trPr>
          <w:cantSplit/>
        </w:trPr>
        <w:tc>
          <w:tcPr>
            <w:tcW w:type="dxa" w:w="737"/>
            <w:vAlign w:val="center"/>
            <w:shd w:fill="FFFFFF"/>
          </w:tcPr>
          <w:p>
            <w:pPr>
              <w:keepNext w:val="0"/>
              <w:spacing w:after="0" w:line="269" w:lineRule="auto"/>
              <w:jc w:val="center"/>
            </w:pPr>
            <w:r>
              <w:rPr>
                <w:b w:val="0"/>
                <w:sz w:val="19"/>
              </w:rPr>
              <w:t>3</w:t>
            </w:r>
          </w:p>
        </w:tc>
        <w:tc>
          <w:tcPr>
            <w:tcW w:type="dxa" w:w="1587"/>
            <w:vAlign w:val="center"/>
            <w:shd w:fill="FFFFFF"/>
          </w:tcPr>
          <w:p>
            <w:pPr>
              <w:keepNext w:val="0"/>
              <w:spacing w:after="0" w:line="269" w:lineRule="auto"/>
              <w:jc w:val="center"/>
            </w:pPr>
            <w:r>
              <w:rPr>
                <w:b w:val="0"/>
                <w:sz w:val="19"/>
              </w:rPr>
              <w:t>3.00%</w:t>
            </w:r>
          </w:p>
        </w:tc>
        <w:tc>
          <w:tcPr>
            <w:tcW w:type="dxa" w:w="1587"/>
            <w:vAlign w:val="center"/>
            <w:shd w:fill="FFFFFF"/>
          </w:tcPr>
          <w:p>
            <w:pPr>
              <w:keepNext w:val="0"/>
              <w:spacing w:after="0" w:line="269" w:lineRule="auto"/>
              <w:jc w:val="center"/>
            </w:pPr>
            <w:r>
              <w:rPr>
                <w:b w:val="0"/>
                <w:sz w:val="19"/>
              </w:rPr>
              <w:t>2.50%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1.040094</w:t>
            </w:r>
          </w:p>
        </w:tc>
      </w:tr>
      <w:tr>
        <w:trPr>
          <w:cantSplit/>
        </w:trPr>
        <w:tc>
          <w:tcPr>
            <w:tcW w:type="dxa" w:w="737"/>
            <w:vAlign w:val="center"/>
            <w:shd w:fill="FFFFFF"/>
          </w:tcPr>
          <w:p>
            <w:pPr>
              <w:keepNext w:val="0"/>
              <w:spacing w:after="0" w:line="269" w:lineRule="auto"/>
              <w:jc w:val="center"/>
            </w:pPr>
            <w:r>
              <w:rPr>
                <w:b w:val="0"/>
                <w:sz w:val="19"/>
              </w:rPr>
              <w:t>4</w:t>
            </w:r>
          </w:p>
        </w:tc>
        <w:tc>
          <w:tcPr>
            <w:tcW w:type="dxa" w:w="1587"/>
            <w:vAlign w:val="center"/>
            <w:shd w:fill="FFFFFF"/>
          </w:tcPr>
          <w:p>
            <w:pPr>
              <w:keepNext w:val="0"/>
              <w:spacing w:after="0" w:line="269" w:lineRule="auto"/>
              <w:jc w:val="center"/>
            </w:pPr>
            <w:r>
              <w:rPr>
                <w:b w:val="0"/>
                <w:sz w:val="19"/>
              </w:rPr>
              <w:t>-2.00%</w:t>
            </w:r>
          </w:p>
        </w:tc>
        <w:tc>
          <w:tcPr>
            <w:tcW w:type="dxa" w:w="1587"/>
            <w:vAlign w:val="center"/>
            <w:shd w:fill="FFFFFF"/>
          </w:tcPr>
          <w:p>
            <w:pPr>
              <w:keepNext w:val="0"/>
              <w:spacing w:after="0" w:line="269" w:lineRule="auto"/>
              <w:jc w:val="center"/>
            </w:pPr>
            <w:r>
              <w:rPr>
                <w:b w:val="0"/>
                <w:sz w:val="19"/>
              </w:rPr>
              <w:t>-1.50%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1.019292</w:t>
            </w:r>
          </w:p>
        </w:tc>
      </w:tr>
      <w:tr>
        <w:trPr>
          <w:cantSplit/>
        </w:trPr>
        <w:tc>
          <w:tcPr>
            <w:tcW w:type="dxa" w:w="737"/>
            <w:vAlign w:val="center"/>
            <w:shd w:fill="FFFFFF"/>
          </w:tcPr>
          <w:p>
            <w:pPr>
              <w:keepNext w:val="0"/>
              <w:spacing w:after="0" w:line="269" w:lineRule="auto"/>
              <w:jc w:val="center"/>
            </w:pPr>
            <w:r>
              <w:rPr>
                <w:b w:val="0"/>
                <w:sz w:val="19"/>
              </w:rPr>
              <w:t>5</w:t>
            </w:r>
          </w:p>
        </w:tc>
        <w:tc>
          <w:tcPr>
            <w:tcW w:type="dxa" w:w="1587"/>
            <w:vAlign w:val="center"/>
            <w:shd w:fill="FFFFFF"/>
          </w:tcPr>
          <w:p>
            <w:pPr>
              <w:keepNext w:val="0"/>
              <w:spacing w:after="0" w:line="269" w:lineRule="auto"/>
              <w:jc w:val="center"/>
            </w:pPr>
            <w:r>
              <w:rPr>
                <w:b w:val="0"/>
                <w:sz w:val="19"/>
              </w:rPr>
              <w:t>1.50%</w:t>
            </w:r>
          </w:p>
        </w:tc>
        <w:tc>
          <w:tcPr>
            <w:tcW w:type="dxa" w:w="1587"/>
            <w:vAlign w:val="center"/>
            <w:shd w:fill="FFFFFF"/>
          </w:tcPr>
          <w:p>
            <w:pPr>
              <w:keepNext w:val="0"/>
              <w:spacing w:after="0" w:line="269" w:lineRule="auto"/>
              <w:jc w:val="center"/>
            </w:pPr>
            <w:r>
              <w:rPr>
                <w:b w:val="0"/>
                <w:sz w:val="19"/>
              </w:rPr>
              <w:t>1.00%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1.034582</w:t>
            </w:r>
          </w:p>
        </w:tc>
      </w:tr>
      <w:tr>
        <w:trPr>
          <w:cantSplit/>
        </w:trPr>
        <w:tc>
          <w:tcPr>
            <w:tcW w:type="dxa" w:w="737"/>
            <w:vAlign w:val="center"/>
            <w:shd w:fill="FFFFFF"/>
          </w:tcPr>
          <w:p>
            <w:pPr>
              <w:keepNext w:val="0"/>
              <w:spacing w:after="0" w:line="269" w:lineRule="auto"/>
              <w:jc w:val="center"/>
            </w:pPr>
            <w:r>
              <w:rPr>
                <w:b w:val="0"/>
                <w:sz w:val="19"/>
              </w:rPr>
              <w:t>6</w:t>
            </w:r>
          </w:p>
        </w:tc>
        <w:tc>
          <w:tcPr>
            <w:tcW w:type="dxa" w:w="1587"/>
            <w:vAlign w:val="center"/>
            <w:shd w:fill="FFFFFF"/>
          </w:tcPr>
          <w:p>
            <w:pPr>
              <w:keepNext w:val="0"/>
              <w:spacing w:after="0" w:line="269" w:lineRule="auto"/>
              <w:jc w:val="center"/>
            </w:pPr>
            <w:r>
              <w:rPr>
                <w:b w:val="0"/>
                <w:sz w:val="19"/>
              </w:rPr>
              <w:t>0.50%</w:t>
            </w:r>
          </w:p>
        </w:tc>
        <w:tc>
          <w:tcPr>
            <w:tcW w:type="dxa" w:w="1587"/>
            <w:vAlign w:val="center"/>
            <w:shd w:fill="FFFFFF"/>
          </w:tcPr>
          <w:p>
            <w:pPr>
              <w:keepNext w:val="0"/>
              <w:spacing w:after="0" w:line="269" w:lineRule="auto"/>
              <w:jc w:val="center"/>
            </w:pPr>
            <w:r>
              <w:rPr>
                <w:b w:val="0"/>
                <w:sz w:val="19"/>
              </w:rPr>
              <w:t>0.30%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0.20</w:t>
            </w:r>
          </w:p>
        </w:tc>
        <w:tc>
          <w:tcPr>
            <w:tcW w:type="dxa" w:w="1928"/>
            <w:vAlign w:val="center"/>
            <w:shd w:fill="FFFFFF"/>
          </w:tcPr>
          <w:p>
            <w:pPr>
              <w:keepNext w:val="0"/>
              <w:spacing w:after="0" w:line="269" w:lineRule="auto"/>
              <w:jc w:val="center"/>
            </w:pPr>
            <w:r>
              <w:rPr>
                <w:b w:val="0"/>
                <w:sz w:val="19"/>
              </w:rPr>
              <w:t>1.039754</w:t>
            </w:r>
          </w:p>
        </w:tc>
      </w:tr>
      <w:tr>
        <w:trPr>
          <w:cantSplit/>
        </w:trPr>
        <w:tc>
          <w:tcPr>
            <w:tcW w:type="dxa" w:w="737"/>
            <w:vAlign w:val="center"/>
            <w:shd w:fill="FFFFFF"/>
          </w:tcPr>
          <w:p>
            <w:pPr>
              <w:keepNext w:val="0"/>
              <w:spacing w:after="0" w:line="269" w:lineRule="auto"/>
              <w:jc w:val="center"/>
            </w:pPr>
            <w:r>
              <w:rPr>
                <w:b w:val="0"/>
                <w:sz w:val="19"/>
              </w:rPr>
              <w:t>7</w:t>
            </w:r>
          </w:p>
        </w:tc>
        <w:tc>
          <w:tcPr>
            <w:tcW w:type="dxa" w:w="1587"/>
            <w:vAlign w:val="center"/>
            <w:shd w:fill="FFFFFF"/>
          </w:tcPr>
          <w:p>
            <w:pPr>
              <w:keepNext w:val="0"/>
              <w:spacing w:after="0" w:line="269" w:lineRule="auto"/>
              <w:jc w:val="center"/>
            </w:pPr>
            <w:r>
              <w:rPr>
                <w:b w:val="0"/>
                <w:sz w:val="19"/>
              </w:rPr>
              <w:t>2.50%</w:t>
            </w:r>
          </w:p>
        </w:tc>
        <w:tc>
          <w:tcPr>
            <w:tcW w:type="dxa" w:w="1587"/>
            <w:vAlign w:val="center"/>
            <w:shd w:fill="FFFFFF"/>
          </w:tcPr>
          <w:p>
            <w:pPr>
              <w:keepNext w:val="0"/>
              <w:spacing w:after="0" w:line="269" w:lineRule="auto"/>
              <w:jc w:val="center"/>
            </w:pPr>
            <w:r>
              <w:rPr>
                <w:b w:val="0"/>
                <w:sz w:val="19"/>
              </w:rPr>
              <w:t>2.00%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1.065748</w:t>
            </w:r>
          </w:p>
        </w:tc>
      </w:tr>
      <w:tr>
        <w:trPr>
          <w:cantSplit/>
        </w:trPr>
        <w:tc>
          <w:tcPr>
            <w:tcW w:type="dxa" w:w="737"/>
            <w:vAlign w:val="center"/>
            <w:shd w:fill="FFFFFF"/>
          </w:tcPr>
          <w:p>
            <w:pPr>
              <w:keepNext w:val="0"/>
              <w:spacing w:after="0" w:line="269" w:lineRule="auto"/>
              <w:jc w:val="center"/>
            </w:pPr>
            <w:r>
              <w:rPr>
                <w:b w:val="0"/>
                <w:sz w:val="19"/>
              </w:rPr>
              <w:t>8</w:t>
            </w:r>
          </w:p>
        </w:tc>
        <w:tc>
          <w:tcPr>
            <w:tcW w:type="dxa" w:w="1587"/>
            <w:vAlign w:val="center"/>
            <w:shd w:fill="FFFFFF"/>
          </w:tcPr>
          <w:p>
            <w:pPr>
              <w:keepNext w:val="0"/>
              <w:spacing w:after="0" w:line="269" w:lineRule="auto"/>
              <w:jc w:val="center"/>
            </w:pPr>
            <w:r>
              <w:rPr>
                <w:b w:val="0"/>
                <w:sz w:val="19"/>
              </w:rPr>
              <w:t>-3.00%</w:t>
            </w:r>
          </w:p>
        </w:tc>
        <w:tc>
          <w:tcPr>
            <w:tcW w:type="dxa" w:w="1587"/>
            <w:vAlign w:val="center"/>
            <w:shd w:fill="FFFFFF"/>
          </w:tcPr>
          <w:p>
            <w:pPr>
              <w:keepNext w:val="0"/>
              <w:spacing w:after="0" w:line="269" w:lineRule="auto"/>
              <w:jc w:val="center"/>
            </w:pPr>
            <w:r>
              <w:rPr>
                <w:b w:val="0"/>
                <w:sz w:val="19"/>
              </w:rPr>
              <w:t>-2.50%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1.033776</w:t>
            </w:r>
          </w:p>
        </w:tc>
      </w:tr>
      <w:tr>
        <w:trPr>
          <w:cantSplit/>
        </w:trPr>
        <w:tc>
          <w:tcPr>
            <w:tcW w:type="dxa" w:w="737"/>
            <w:vAlign w:val="center"/>
            <w:shd w:fill="FFFFFF"/>
          </w:tcPr>
          <w:p>
            <w:pPr>
              <w:keepNext w:val="0"/>
              <w:spacing w:after="0" w:line="269" w:lineRule="auto"/>
              <w:jc w:val="center"/>
            </w:pPr>
            <w:r>
              <w:rPr>
                <w:b w:val="0"/>
                <w:sz w:val="19"/>
              </w:rPr>
              <w:t>9</w:t>
            </w:r>
          </w:p>
        </w:tc>
        <w:tc>
          <w:tcPr>
            <w:tcW w:type="dxa" w:w="1587"/>
            <w:vAlign w:val="center"/>
            <w:shd w:fill="FFFFFF"/>
          </w:tcPr>
          <w:p>
            <w:pPr>
              <w:keepNext w:val="0"/>
              <w:spacing w:after="0" w:line="269" w:lineRule="auto"/>
              <w:jc w:val="center"/>
            </w:pPr>
            <w:r>
              <w:rPr>
                <w:b w:val="0"/>
                <w:sz w:val="19"/>
              </w:rPr>
              <w:t>4.00%</w:t>
            </w:r>
          </w:p>
        </w:tc>
        <w:tc>
          <w:tcPr>
            <w:tcW w:type="dxa" w:w="1587"/>
            <w:vAlign w:val="center"/>
            <w:shd w:fill="FFFFFF"/>
          </w:tcPr>
          <w:p>
            <w:pPr>
              <w:keepNext w:val="0"/>
              <w:spacing w:after="0" w:line="269" w:lineRule="auto"/>
              <w:jc w:val="center"/>
            </w:pPr>
            <w:r>
              <w:rPr>
                <w:b w:val="0"/>
                <w:sz w:val="19"/>
              </w:rPr>
              <w:t>3.00%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1.00</w:t>
            </w:r>
          </w:p>
        </w:tc>
        <w:tc>
          <w:tcPr>
            <w:tcW w:type="dxa" w:w="1928"/>
            <w:vAlign w:val="center"/>
            <w:shd w:fill="FFFFFF"/>
          </w:tcPr>
          <w:p>
            <w:pPr>
              <w:keepNext w:val="0"/>
              <w:spacing w:after="0" w:line="269" w:lineRule="auto"/>
              <w:jc w:val="center"/>
            </w:pPr>
            <w:r>
              <w:rPr>
                <w:b w:val="0"/>
                <w:sz w:val="19"/>
              </w:rPr>
              <w:t>1.075127</w:t>
            </w:r>
          </w:p>
        </w:tc>
      </w:tr>
      <w:tr>
        <w:trPr>
          <w:cantSplit/>
        </w:trPr>
        <w:tc>
          <w:tcPr>
            <w:tcW w:type="dxa" w:w="737"/>
            <w:vAlign w:val="center"/>
            <w:shd w:fill="FFFFFF"/>
          </w:tcPr>
          <w:p>
            <w:pPr>
              <w:keepNext w:val="0"/>
              <w:spacing w:after="0" w:line="269" w:lineRule="auto"/>
              <w:jc w:val="center"/>
            </w:pPr>
            <w:r>
              <w:rPr>
                <w:b w:val="0"/>
                <w:sz w:val="19"/>
              </w:rPr>
              <w:t>10</w:t>
            </w:r>
          </w:p>
        </w:tc>
        <w:tc>
          <w:tcPr>
            <w:tcW w:type="dxa" w:w="1587"/>
            <w:vAlign w:val="center"/>
            <w:shd w:fill="FFFFFF"/>
          </w:tcPr>
          <w:p>
            <w:pPr>
              <w:keepNext w:val="0"/>
              <w:spacing w:after="0" w:line="269" w:lineRule="auto"/>
              <w:jc w:val="center"/>
            </w:pPr>
            <w:r>
              <w:rPr>
                <w:b w:val="0"/>
                <w:sz w:val="19"/>
              </w:rPr>
              <w:t>1.00%</w:t>
            </w:r>
          </w:p>
        </w:tc>
        <w:tc>
          <w:tcPr>
            <w:tcW w:type="dxa" w:w="1587"/>
            <w:vAlign w:val="center"/>
            <w:shd w:fill="FFFFFF"/>
          </w:tcPr>
          <w:p>
            <w:pPr>
              <w:keepNext w:val="0"/>
              <w:spacing w:after="0" w:line="269" w:lineRule="auto"/>
              <w:jc w:val="center"/>
            </w:pPr>
            <w:r>
              <w:rPr>
                <w:b w:val="0"/>
                <w:sz w:val="19"/>
              </w:rPr>
              <w:t>0.80%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0.20</w:t>
            </w:r>
          </w:p>
        </w:tc>
        <w:tc>
          <w:tcPr>
            <w:tcW w:type="dxa" w:w="1928"/>
            <w:vAlign w:val="center"/>
            <w:shd w:fill="FFFFFF"/>
          </w:tcPr>
          <w:p>
            <w:pPr>
              <w:keepNext w:val="0"/>
              <w:spacing w:after="0" w:line="269" w:lineRule="auto"/>
              <w:jc w:val="center"/>
            </w:pPr>
            <w:r>
              <w:rPr>
                <w:b w:val="0"/>
                <w:sz w:val="19"/>
              </w:rPr>
              <w:t>1.085878</w:t>
            </w:r>
          </w:p>
        </w:tc>
      </w:tr>
      <w:tr>
        <w:trPr>
          <w:cantSplit/>
        </w:trPr>
        <w:tc>
          <w:tcPr>
            <w:tcW w:type="dxa" w:w="737"/>
            <w:vAlign w:val="center"/>
            <w:shd w:fill="FFFFFF"/>
          </w:tcPr>
          <w:p>
            <w:pPr>
              <w:keepNext w:val="0"/>
              <w:spacing w:after="0" w:line="269" w:lineRule="auto"/>
              <w:jc w:val="center"/>
            </w:pPr>
            <w:r>
              <w:rPr>
                <w:b w:val="0"/>
                <w:sz w:val="19"/>
              </w:rPr>
              <w:t>11</w:t>
            </w:r>
          </w:p>
        </w:tc>
        <w:tc>
          <w:tcPr>
            <w:tcW w:type="dxa" w:w="1587"/>
            <w:vAlign w:val="center"/>
            <w:shd w:fill="FFFFFF"/>
          </w:tcPr>
          <w:p>
            <w:pPr>
              <w:keepNext w:val="0"/>
              <w:spacing w:after="0" w:line="269" w:lineRule="auto"/>
              <w:jc w:val="center"/>
            </w:pPr>
            <w:r>
              <w:rPr>
                <w:b w:val="0"/>
                <w:sz w:val="19"/>
              </w:rPr>
              <w:t>-0.50%</w:t>
            </w:r>
          </w:p>
        </w:tc>
        <w:tc>
          <w:tcPr>
            <w:tcW w:type="dxa" w:w="1587"/>
            <w:vAlign w:val="center"/>
            <w:shd w:fill="FFFFFF"/>
          </w:tcPr>
          <w:p>
            <w:pPr>
              <w:keepNext w:val="0"/>
              <w:spacing w:after="0" w:line="269" w:lineRule="auto"/>
              <w:jc w:val="center"/>
            </w:pPr>
            <w:r>
              <w:rPr>
                <w:b w:val="0"/>
                <w:sz w:val="19"/>
              </w:rPr>
              <w:t>-0.70%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0.20</w:t>
            </w:r>
          </w:p>
        </w:tc>
        <w:tc>
          <w:tcPr>
            <w:tcW w:type="dxa" w:w="1928"/>
            <w:vAlign w:val="center"/>
            <w:shd w:fill="FFFFFF"/>
          </w:tcPr>
          <w:p>
            <w:pPr>
              <w:keepNext w:val="0"/>
              <w:spacing w:after="0" w:line="269" w:lineRule="auto"/>
              <w:jc w:val="center"/>
            </w:pPr>
            <w:r>
              <w:rPr>
                <w:b w:val="0"/>
                <w:sz w:val="19"/>
              </w:rPr>
              <w:t>1.080449</w:t>
            </w:r>
          </w:p>
        </w:tc>
      </w:tr>
      <w:tr>
        <w:trPr>
          <w:cantSplit/>
        </w:trPr>
        <w:tc>
          <w:tcPr>
            <w:tcW w:type="dxa" w:w="737"/>
            <w:vAlign w:val="center"/>
            <w:shd w:fill="FFFFFF"/>
          </w:tcPr>
          <w:p>
            <w:pPr>
              <w:keepNext w:val="0"/>
              <w:spacing w:after="0" w:line="269" w:lineRule="auto"/>
              <w:jc w:val="center"/>
            </w:pPr>
            <w:r>
              <w:rPr>
                <w:b w:val="0"/>
                <w:sz w:val="19"/>
              </w:rPr>
              <w:t>12</w:t>
            </w:r>
          </w:p>
        </w:tc>
        <w:tc>
          <w:tcPr>
            <w:tcW w:type="dxa" w:w="1587"/>
            <w:vAlign w:val="center"/>
            <w:shd w:fill="FFFFFF"/>
          </w:tcPr>
          <w:p>
            <w:pPr>
              <w:keepNext w:val="0"/>
              <w:spacing w:after="0" w:line="269" w:lineRule="auto"/>
              <w:jc w:val="center"/>
            </w:pPr>
            <w:r>
              <w:rPr>
                <w:b w:val="0"/>
                <w:sz w:val="19"/>
              </w:rPr>
              <w:t>2.00%</w:t>
            </w:r>
          </w:p>
        </w:tc>
        <w:tc>
          <w:tcPr>
            <w:tcW w:type="dxa" w:w="1587"/>
            <w:vAlign w:val="center"/>
            <w:shd w:fill="FFFFFF"/>
          </w:tcPr>
          <w:p>
            <w:pPr>
              <w:keepNext w:val="0"/>
              <w:spacing w:after="0" w:line="269" w:lineRule="auto"/>
              <w:jc w:val="center"/>
            </w:pPr>
            <w:r>
              <w:rPr>
                <w:b w:val="0"/>
                <w:sz w:val="19"/>
              </w:rPr>
              <w:t>1.50%</w:t>
            </w:r>
          </w:p>
        </w:tc>
        <w:tc>
          <w:tcPr>
            <w:tcW w:type="dxa" w:w="1587"/>
            <w:vAlign w:val="center"/>
            <w:shd w:fill="FFFFFF"/>
          </w:tcPr>
          <w:p>
            <w:pPr>
              <w:keepNext w:val="0"/>
              <w:spacing w:after="0" w:line="269" w:lineRule="auto"/>
              <w:jc w:val="center"/>
            </w:pPr>
            <w:r>
              <w:rPr>
                <w:b w:val="0"/>
                <w:sz w:val="19"/>
              </w:rPr>
              <w:t>0.15%</w:t>
            </w:r>
          </w:p>
        </w:tc>
        <w:tc>
          <w:tcPr>
            <w:tcW w:type="dxa" w:w="2041"/>
            <w:vAlign w:val="center"/>
            <w:shd w:fill="FFFFFF"/>
          </w:tcPr>
          <w:p>
            <w:pPr>
              <w:keepNext w:val="0"/>
              <w:spacing w:after="0" w:line="269" w:lineRule="auto"/>
              <w:jc w:val="center"/>
            </w:pPr>
            <w:r>
              <w:rPr>
                <w:b w:val="0"/>
                <w:sz w:val="19"/>
              </w:rPr>
              <w:t>0.50</w:t>
            </w:r>
          </w:p>
        </w:tc>
        <w:tc>
          <w:tcPr>
            <w:tcW w:type="dxa" w:w="1928"/>
            <w:vAlign w:val="center"/>
            <w:shd w:fill="FFFFFF"/>
          </w:tcPr>
          <w:p>
            <w:pPr>
              <w:keepNext w:val="0"/>
              <w:spacing w:after="0" w:line="269" w:lineRule="auto"/>
              <w:jc w:val="center"/>
            </w:pPr>
            <w:r>
              <w:rPr>
                <w:b w:val="0"/>
                <w:sz w:val="19"/>
              </w:rPr>
              <w:t>1.102058</w:t>
            </w:r>
          </w:p>
        </w:tc>
      </w:tr>
    </w:tbl>
    <w:p>
      <w:pPr>
        <w:spacing w:after="0"/>
      </w:pPr>
    </w:p>
    <w:p>
      <w:pPr>
        <w:pStyle w:val="Heading2"/>
      </w:pPr>
      <w:r>
        <w:rPr>
          <w:color w:val="000000"/>
        </w:rPr>
        <w:t>2 Excel 中逐列计算</w:t>
      </w:r>
    </w:p>
    <w:p>
      <w:r>
        <w:rPr>
          <w:color w:val="000000"/>
        </w:rPr>
        <w:t>将第 1 至 12 月数据置于第 2 至 13 行：A 列月份，B 列组合收益，C 列基准收益，D 列无风险收益。B 至 D 列输入百分比数值。新增 E 列主动收益、F 列超额无风险收益、G 列组合财富指数、H 列历史峰值、I 列回撤。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154"/>
        <w:gridCol w:w="3005"/>
        <w:gridCol w:w="4309"/>
      </w:tblGrid>
      <w:tr>
        <w:trPr>
          <w:cantSplit/>
          <w:tblHeader/>
        </w:trPr>
        <w:tc>
          <w:tcPr>
            <w:tcW w:type="dxa" w:w="2154"/>
            <w:vAlign w:val="center"/>
            <w:shd w:fill="DFE8F0"/>
          </w:tcPr>
          <w:p>
            <w:pPr>
              <w:keepNext/>
              <w:spacing w:after="0" w:line="269" w:lineRule="auto"/>
              <w:jc w:val="center"/>
            </w:pPr>
            <w:r>
              <w:rPr>
                <w:b/>
                <w:sz w:val="19"/>
              </w:rPr>
              <w:t>计算列</w:t>
            </w:r>
          </w:p>
        </w:tc>
        <w:tc>
          <w:tcPr>
            <w:tcW w:type="dxa" w:w="3005"/>
            <w:vAlign w:val="center"/>
            <w:shd w:fill="DFE8F0"/>
          </w:tcPr>
          <w:p>
            <w:pPr>
              <w:keepNext/>
              <w:spacing w:after="0" w:line="269" w:lineRule="auto"/>
              <w:jc w:val="center"/>
            </w:pPr>
            <w:r>
              <w:rPr>
                <w:b/>
                <w:sz w:val="19"/>
              </w:rPr>
              <w:t>首行公式</w:t>
            </w:r>
          </w:p>
        </w:tc>
        <w:tc>
          <w:tcPr>
            <w:tcW w:type="dxa" w:w="4309"/>
            <w:vAlign w:val="center"/>
            <w:shd w:fill="DFE8F0"/>
          </w:tcPr>
          <w:p>
            <w:pPr>
              <w:keepNext/>
              <w:spacing w:after="0" w:line="269" w:lineRule="auto"/>
              <w:jc w:val="center"/>
            </w:pPr>
            <w:r>
              <w:rPr>
                <w:b/>
                <w:sz w:val="19"/>
              </w:rPr>
              <w:t>后续操作</w:t>
            </w:r>
          </w:p>
        </w:tc>
      </w:tr>
      <w:tr>
        <w:trPr>
          <w:cantSplit/>
        </w:trPr>
        <w:tc>
          <w:tcPr>
            <w:tcW w:type="dxa" w:w="2154"/>
            <w:vAlign w:val="center"/>
            <w:shd w:fill="FFFFFF"/>
          </w:tcPr>
          <w:p>
            <w:pPr>
              <w:keepNext w:val="0"/>
              <w:spacing w:after="0" w:line="269" w:lineRule="auto"/>
              <w:jc w:val="center"/>
            </w:pPr>
            <w:r>
              <w:rPr>
                <w:b w:val="0"/>
                <w:sz w:val="19"/>
              </w:rPr>
              <w:t>E 主动收益</w:t>
            </w:r>
          </w:p>
        </w:tc>
        <w:tc>
          <w:tcPr>
            <w:tcW w:type="dxa" w:w="3005"/>
            <w:vAlign w:val="center"/>
            <w:shd w:fill="FFFFFF"/>
          </w:tcPr>
          <w:p>
            <w:pPr>
              <w:keepNext w:val="0"/>
              <w:spacing w:after="0" w:line="269" w:lineRule="auto"/>
              <w:jc w:val="center"/>
            </w:pPr>
            <w:r>
              <w:rPr>
                <w:b w:val="0"/>
                <w:sz w:val="19"/>
              </w:rPr>
              <w:t>=B2-C2</w:t>
            </w:r>
          </w:p>
        </w:tc>
        <w:tc>
          <w:tcPr>
            <w:tcW w:type="dxa" w:w="4309"/>
            <w:vAlign w:val="center"/>
            <w:shd w:fill="FFFFFF"/>
          </w:tcPr>
          <w:p>
            <w:pPr>
              <w:keepNext w:val="0"/>
              <w:spacing w:after="0" w:line="269" w:lineRule="auto"/>
              <w:jc w:val="center"/>
            </w:pPr>
            <w:r>
              <w:rPr>
                <w:b w:val="0"/>
                <w:sz w:val="19"/>
              </w:rPr>
              <w:t>向下填充至第 13 行</w:t>
            </w:r>
          </w:p>
        </w:tc>
      </w:tr>
      <w:tr>
        <w:trPr>
          <w:cantSplit/>
        </w:trPr>
        <w:tc>
          <w:tcPr>
            <w:tcW w:type="dxa" w:w="2154"/>
            <w:vAlign w:val="center"/>
            <w:shd w:fill="FFFFFF"/>
          </w:tcPr>
          <w:p>
            <w:pPr>
              <w:keepNext w:val="0"/>
              <w:spacing w:after="0" w:line="269" w:lineRule="auto"/>
              <w:jc w:val="center"/>
            </w:pPr>
            <w:r>
              <w:rPr>
                <w:b w:val="0"/>
                <w:sz w:val="19"/>
              </w:rPr>
              <w:t>F 超额无风险收益</w:t>
            </w:r>
          </w:p>
        </w:tc>
        <w:tc>
          <w:tcPr>
            <w:tcW w:type="dxa" w:w="3005"/>
            <w:vAlign w:val="center"/>
            <w:shd w:fill="FFFFFF"/>
          </w:tcPr>
          <w:p>
            <w:pPr>
              <w:keepNext w:val="0"/>
              <w:spacing w:after="0" w:line="269" w:lineRule="auto"/>
              <w:jc w:val="center"/>
            </w:pPr>
            <w:r>
              <w:rPr>
                <w:b w:val="0"/>
                <w:sz w:val="19"/>
              </w:rPr>
              <w:t>=B2-D2</w:t>
            </w:r>
          </w:p>
        </w:tc>
        <w:tc>
          <w:tcPr>
            <w:tcW w:type="dxa" w:w="4309"/>
            <w:vAlign w:val="center"/>
            <w:shd w:fill="FFFFFF"/>
          </w:tcPr>
          <w:p>
            <w:pPr>
              <w:keepNext w:val="0"/>
              <w:spacing w:after="0" w:line="269" w:lineRule="auto"/>
              <w:jc w:val="center"/>
            </w:pPr>
            <w:r>
              <w:rPr>
                <w:b w:val="0"/>
                <w:sz w:val="19"/>
              </w:rPr>
              <w:t>向下填充至第 13 行</w:t>
            </w:r>
          </w:p>
        </w:tc>
      </w:tr>
      <w:tr>
        <w:trPr>
          <w:cantSplit/>
        </w:trPr>
        <w:tc>
          <w:tcPr>
            <w:tcW w:type="dxa" w:w="2154"/>
            <w:vAlign w:val="center"/>
            <w:shd w:fill="FFFFFF"/>
          </w:tcPr>
          <w:p>
            <w:pPr>
              <w:keepNext w:val="0"/>
              <w:spacing w:after="0" w:line="269" w:lineRule="auto"/>
              <w:jc w:val="center"/>
            </w:pPr>
            <w:r>
              <w:rPr>
                <w:b w:val="0"/>
                <w:sz w:val="19"/>
              </w:rPr>
              <w:t>G 财富指数</w:t>
            </w:r>
          </w:p>
        </w:tc>
        <w:tc>
          <w:tcPr>
            <w:tcW w:type="dxa" w:w="3005"/>
            <w:vAlign w:val="center"/>
            <w:shd w:fill="FFFFFF"/>
          </w:tcPr>
          <w:p>
            <w:pPr>
              <w:keepNext w:val="0"/>
              <w:spacing w:after="0" w:line="269" w:lineRule="auto"/>
              <w:jc w:val="center"/>
            </w:pPr>
            <w:r>
              <w:rPr>
                <w:b w:val="0"/>
                <w:sz w:val="19"/>
              </w:rPr>
              <w:t>=1+B2</w:t>
            </w:r>
          </w:p>
        </w:tc>
        <w:tc>
          <w:tcPr>
            <w:tcW w:type="dxa" w:w="4309"/>
            <w:vAlign w:val="center"/>
            <w:shd w:fill="FFFFFF"/>
          </w:tcPr>
          <w:p>
            <w:pPr>
              <w:keepNext w:val="0"/>
              <w:spacing w:after="0" w:line="269" w:lineRule="auto"/>
            </w:pPr>
            <w:r>
              <w:rPr>
                <w:b w:val="0"/>
                <w:sz w:val="19"/>
              </w:rPr>
              <w:t>G3=G2*(1+B3)，再向下填充</w:t>
            </w:r>
          </w:p>
        </w:tc>
      </w:tr>
      <w:tr>
        <w:trPr>
          <w:cantSplit/>
        </w:trPr>
        <w:tc>
          <w:tcPr>
            <w:tcW w:type="dxa" w:w="2154"/>
            <w:vAlign w:val="center"/>
            <w:shd w:fill="FFFFFF"/>
          </w:tcPr>
          <w:p>
            <w:pPr>
              <w:keepNext w:val="0"/>
              <w:spacing w:after="0" w:line="269" w:lineRule="auto"/>
              <w:jc w:val="center"/>
            </w:pPr>
            <w:r>
              <w:rPr>
                <w:b w:val="0"/>
                <w:sz w:val="19"/>
              </w:rPr>
              <w:t>H 历史峰值</w:t>
            </w:r>
          </w:p>
        </w:tc>
        <w:tc>
          <w:tcPr>
            <w:tcW w:type="dxa" w:w="3005"/>
            <w:vAlign w:val="center"/>
            <w:shd w:fill="FFFFFF"/>
          </w:tcPr>
          <w:p>
            <w:pPr>
              <w:keepNext w:val="0"/>
              <w:spacing w:after="0" w:line="269" w:lineRule="auto"/>
              <w:jc w:val="center"/>
            </w:pPr>
            <w:r>
              <w:rPr>
                <w:b w:val="0"/>
                <w:sz w:val="19"/>
              </w:rPr>
              <w:t>=MAX(1,G2)</w:t>
            </w:r>
          </w:p>
        </w:tc>
        <w:tc>
          <w:tcPr>
            <w:tcW w:type="dxa" w:w="4309"/>
            <w:vAlign w:val="center"/>
            <w:shd w:fill="FFFFFF"/>
          </w:tcPr>
          <w:p>
            <w:pPr>
              <w:keepNext w:val="0"/>
              <w:spacing w:after="0" w:line="269" w:lineRule="auto"/>
            </w:pPr>
            <w:r>
              <w:rPr>
                <w:b w:val="0"/>
                <w:sz w:val="19"/>
              </w:rPr>
              <w:t>H3=MAX(H2,G3)，再向下填充</w:t>
            </w:r>
          </w:p>
        </w:tc>
      </w:tr>
      <w:tr>
        <w:trPr>
          <w:cantSplit/>
        </w:trPr>
        <w:tc>
          <w:tcPr>
            <w:tcW w:type="dxa" w:w="2154"/>
            <w:vAlign w:val="center"/>
            <w:shd w:fill="FFFFFF"/>
          </w:tcPr>
          <w:p>
            <w:pPr>
              <w:keepNext w:val="0"/>
              <w:spacing w:after="0" w:line="269" w:lineRule="auto"/>
              <w:jc w:val="center"/>
            </w:pPr>
            <w:r>
              <w:rPr>
                <w:b w:val="0"/>
                <w:sz w:val="19"/>
              </w:rPr>
              <w:t>I 回撤</w:t>
            </w:r>
          </w:p>
        </w:tc>
        <w:tc>
          <w:tcPr>
            <w:tcW w:type="dxa" w:w="3005"/>
            <w:vAlign w:val="center"/>
            <w:shd w:fill="FFFFFF"/>
          </w:tcPr>
          <w:p>
            <w:pPr>
              <w:keepNext w:val="0"/>
              <w:spacing w:after="0" w:line="269" w:lineRule="auto"/>
              <w:jc w:val="center"/>
            </w:pPr>
            <w:r>
              <w:rPr>
                <w:b w:val="0"/>
                <w:sz w:val="19"/>
              </w:rPr>
              <w:t>=G2/H2-1</w:t>
            </w:r>
          </w:p>
        </w:tc>
        <w:tc>
          <w:tcPr>
            <w:tcW w:type="dxa" w:w="4309"/>
            <w:vAlign w:val="center"/>
            <w:shd w:fill="FFFFFF"/>
          </w:tcPr>
          <w:p>
            <w:pPr>
              <w:keepNext w:val="0"/>
              <w:spacing w:after="0" w:line="269" w:lineRule="auto"/>
              <w:jc w:val="center"/>
            </w:pPr>
            <w:r>
              <w:rPr>
                <w:b w:val="0"/>
                <w:sz w:val="19"/>
              </w:rPr>
              <w:t>向下填充，负数表示回撤</w:t>
            </w:r>
          </w:p>
        </w:tc>
      </w:tr>
    </w:tbl>
    <w:p>
      <w:pPr>
        <w:spacing w:after="0"/>
      </w:pPr>
    </w:p>
    <w:p>
      <w:pPr>
        <w:spacing w:line="276" w:lineRule="auto" w:after="100"/>
      </w:pPr>
      <w:r>
        <w:rPr>
          <w:color w:val="000000"/>
          <w:sz w:val="18"/>
        </w:rPr>
        <w:t>表内 Excel 公式为可直接录入的计算步骤。此页数据与第五部分 Brinson 示例的第一个月收益一致。若输入实际净值，先按第二部分换算总收益率；本例不能用于真实产品排名。</w:t>
      </w:r>
    </w:p>
    <w:p>
      <w:pPr>
        <w:pStyle w:val="Heading2"/>
        <w:pageBreakBefore/>
      </w:pPr>
      <w:r>
        <w:rPr>
          <w:color w:val="000000"/>
        </w:rPr>
        <w:t>3 汇总指标并复核计算结果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098"/>
        <w:gridCol w:w="5102"/>
        <w:gridCol w:w="2268"/>
      </w:tblGrid>
      <w:tr>
        <w:trPr>
          <w:cantSplit/>
          <w:tblHeader/>
        </w:trPr>
        <w:tc>
          <w:tcPr>
            <w:tcW w:type="dxa" w:w="2098"/>
            <w:vAlign w:val="center"/>
            <w:shd w:fill="DFE8F0"/>
          </w:tcPr>
          <w:p>
            <w:pPr>
              <w:keepNext/>
              <w:spacing w:after="0" w:line="269" w:lineRule="auto"/>
              <w:jc w:val="center"/>
            </w:pPr>
            <w:r>
              <w:rPr>
                <w:b/>
                <w:sz w:val="19"/>
              </w:rPr>
              <w:t>指标</w:t>
            </w:r>
          </w:p>
        </w:tc>
        <w:tc>
          <w:tcPr>
            <w:tcW w:type="dxa" w:w="5102"/>
            <w:vAlign w:val="center"/>
            <w:shd w:fill="DFE8F0"/>
          </w:tcPr>
          <w:p>
            <w:pPr>
              <w:keepNext/>
              <w:spacing w:after="0" w:line="269" w:lineRule="auto"/>
              <w:jc w:val="center"/>
            </w:pPr>
            <w:r>
              <w:rPr>
                <w:b/>
                <w:sz w:val="19"/>
              </w:rPr>
              <w:t>Excel 计算</w:t>
            </w:r>
          </w:p>
        </w:tc>
        <w:tc>
          <w:tcPr>
            <w:tcW w:type="dxa" w:w="2268"/>
            <w:vAlign w:val="center"/>
            <w:shd w:fill="DFE8F0"/>
          </w:tcPr>
          <w:p>
            <w:pPr>
              <w:keepNext/>
              <w:spacing w:after="0" w:line="269" w:lineRule="auto"/>
              <w:jc w:val="center"/>
            </w:pPr>
            <w:r>
              <w:rPr>
                <w:b/>
                <w:sz w:val="19"/>
              </w:rPr>
              <w:t>演示结果</w:t>
            </w:r>
          </w:p>
        </w:tc>
      </w:tr>
      <w:tr>
        <w:trPr>
          <w:cantSplit/>
        </w:trPr>
        <w:tc>
          <w:tcPr>
            <w:tcW w:type="dxa" w:w="2098"/>
            <w:vAlign w:val="center"/>
            <w:shd w:fill="FFFFFF"/>
          </w:tcPr>
          <w:p>
            <w:pPr>
              <w:keepNext w:val="0"/>
              <w:spacing w:after="0" w:line="269" w:lineRule="auto"/>
              <w:jc w:val="center"/>
            </w:pPr>
            <w:r>
              <w:rPr>
                <w:b w:val="0"/>
                <w:sz w:val="19"/>
              </w:rPr>
              <w:t>组合累计收益</w:t>
            </w:r>
          </w:p>
        </w:tc>
        <w:tc>
          <w:tcPr>
            <w:tcW w:type="dxa" w:w="5102"/>
            <w:vAlign w:val="center"/>
            <w:shd w:fill="FFFFFF"/>
          </w:tcPr>
          <w:p>
            <w:pPr>
              <w:keepNext w:val="0"/>
              <w:spacing w:after="0" w:line="269" w:lineRule="auto"/>
              <w:jc w:val="center"/>
            </w:pPr>
            <w:r>
              <w:rPr>
                <w:b w:val="0"/>
                <w:sz w:val="19"/>
              </w:rPr>
              <w:t>=G13-1</w:t>
            </w:r>
          </w:p>
        </w:tc>
        <w:tc>
          <w:tcPr>
            <w:tcW w:type="dxa" w:w="2268"/>
            <w:vAlign w:val="center"/>
            <w:shd w:fill="FFFFFF"/>
          </w:tcPr>
          <w:p>
            <w:pPr>
              <w:keepNext w:val="0"/>
              <w:spacing w:after="0" w:line="269" w:lineRule="auto"/>
              <w:jc w:val="center"/>
            </w:pPr>
            <w:r>
              <w:rPr>
                <w:b w:val="0"/>
                <w:sz w:val="19"/>
              </w:rPr>
              <w:t>10.2058%</w:t>
            </w:r>
          </w:p>
        </w:tc>
      </w:tr>
      <w:tr>
        <w:trPr>
          <w:cantSplit/>
        </w:trPr>
        <w:tc>
          <w:tcPr>
            <w:tcW w:type="dxa" w:w="2098"/>
            <w:vAlign w:val="center"/>
            <w:shd w:fill="FFFFFF"/>
          </w:tcPr>
          <w:p>
            <w:pPr>
              <w:keepNext w:val="0"/>
              <w:spacing w:after="0" w:line="269" w:lineRule="auto"/>
              <w:jc w:val="center"/>
            </w:pPr>
            <w:r>
              <w:rPr>
                <w:b w:val="0"/>
                <w:sz w:val="19"/>
              </w:rPr>
              <w:t>基准累计收益</w:t>
            </w:r>
          </w:p>
        </w:tc>
        <w:tc>
          <w:tcPr>
            <w:tcW w:type="dxa" w:w="5102"/>
            <w:vAlign w:val="center"/>
            <w:shd w:fill="FFFFFF"/>
          </w:tcPr>
          <w:p>
            <w:pPr>
              <w:keepNext w:val="0"/>
              <w:spacing w:after="0" w:line="269" w:lineRule="auto"/>
            </w:pPr>
            <w:r>
              <w:rPr>
                <w:b w:val="0"/>
                <w:sz w:val="19"/>
              </w:rPr>
              <w:t>=PRODUCT(1+C2:C13)-1</w:t>
            </w:r>
          </w:p>
        </w:tc>
        <w:tc>
          <w:tcPr>
            <w:tcW w:type="dxa" w:w="2268"/>
            <w:vAlign w:val="center"/>
            <w:shd w:fill="FFFFFF"/>
          </w:tcPr>
          <w:p>
            <w:pPr>
              <w:keepNext w:val="0"/>
              <w:spacing w:after="0" w:line="269" w:lineRule="auto"/>
              <w:jc w:val="center"/>
            </w:pPr>
            <w:r>
              <w:rPr>
                <w:b w:val="0"/>
                <w:sz w:val="19"/>
              </w:rPr>
              <w:t>6.7390%</w:t>
            </w:r>
          </w:p>
        </w:tc>
      </w:tr>
      <w:tr>
        <w:trPr>
          <w:cantSplit/>
        </w:trPr>
        <w:tc>
          <w:tcPr>
            <w:tcW w:type="dxa" w:w="2098"/>
            <w:vAlign w:val="center"/>
            <w:shd w:fill="FFFFFF"/>
          </w:tcPr>
          <w:p>
            <w:pPr>
              <w:keepNext w:val="0"/>
              <w:spacing w:after="0" w:line="269" w:lineRule="auto"/>
              <w:jc w:val="center"/>
            </w:pPr>
            <w:r>
              <w:rPr>
                <w:b w:val="0"/>
                <w:sz w:val="19"/>
              </w:rPr>
              <w:t>累计收益差额</w:t>
            </w:r>
          </w:p>
        </w:tc>
        <w:tc>
          <w:tcPr>
            <w:tcW w:type="dxa" w:w="5102"/>
            <w:vAlign w:val="center"/>
            <w:shd w:fill="FFFFFF"/>
          </w:tcPr>
          <w:p>
            <w:pPr>
              <w:keepNext w:val="0"/>
              <w:spacing w:after="0" w:line="269" w:lineRule="auto"/>
              <w:jc w:val="center"/>
            </w:pPr>
            <w:r>
              <w:rPr>
                <w:b w:val="0"/>
                <w:sz w:val="19"/>
              </w:rPr>
              <w:t>组合累计收益-基准累计收益</w:t>
            </w:r>
          </w:p>
        </w:tc>
        <w:tc>
          <w:tcPr>
            <w:tcW w:type="dxa" w:w="2268"/>
            <w:vAlign w:val="center"/>
            <w:shd w:fill="FFFFFF"/>
          </w:tcPr>
          <w:p>
            <w:pPr>
              <w:keepNext w:val="0"/>
              <w:spacing w:after="0" w:line="269" w:lineRule="auto"/>
              <w:jc w:val="center"/>
            </w:pPr>
            <w:r>
              <w:rPr>
                <w:b w:val="0"/>
                <w:sz w:val="19"/>
              </w:rPr>
              <w:t>3.4667 个百分点</w:t>
            </w:r>
          </w:p>
        </w:tc>
      </w:tr>
      <w:tr>
        <w:trPr>
          <w:cantSplit/>
        </w:trPr>
        <w:tc>
          <w:tcPr>
            <w:tcW w:type="dxa" w:w="2098"/>
            <w:vAlign w:val="center"/>
            <w:shd w:fill="FFFFFF"/>
          </w:tcPr>
          <w:p>
            <w:pPr>
              <w:keepNext w:val="0"/>
              <w:spacing w:after="0" w:line="269" w:lineRule="auto"/>
              <w:jc w:val="center"/>
            </w:pPr>
            <w:r>
              <w:rPr>
                <w:b w:val="0"/>
                <w:sz w:val="19"/>
              </w:rPr>
              <w:t>几何相对收益</w:t>
            </w:r>
          </w:p>
        </w:tc>
        <w:tc>
          <w:tcPr>
            <w:tcW w:type="dxa" w:w="5102"/>
            <w:vAlign w:val="center"/>
            <w:shd w:fill="FFFFFF"/>
          </w:tcPr>
          <w:p>
            <w:pPr>
              <w:keepNext w:val="0"/>
              <w:spacing w:after="0" w:line="269" w:lineRule="auto"/>
            </w:pPr>
            <w:r>
              <w:rPr>
                <w:b w:val="0"/>
                <w:sz w:val="19"/>
              </w:rPr>
              <w:t>(1+组合累计)/(1+基准累计)-1</w:t>
            </w:r>
          </w:p>
        </w:tc>
        <w:tc>
          <w:tcPr>
            <w:tcW w:type="dxa" w:w="2268"/>
            <w:vAlign w:val="center"/>
            <w:shd w:fill="FFFFFF"/>
          </w:tcPr>
          <w:p>
            <w:pPr>
              <w:keepNext w:val="0"/>
              <w:spacing w:after="0" w:line="269" w:lineRule="auto"/>
              <w:jc w:val="center"/>
            </w:pPr>
            <w:r>
              <w:rPr>
                <w:b w:val="0"/>
                <w:sz w:val="19"/>
              </w:rPr>
              <w:t>3.2479%</w:t>
            </w:r>
          </w:p>
        </w:tc>
      </w:tr>
      <w:tr>
        <w:trPr>
          <w:cantSplit/>
        </w:trPr>
        <w:tc>
          <w:tcPr>
            <w:tcW w:type="dxa" w:w="2098"/>
            <w:vAlign w:val="center"/>
            <w:shd w:fill="FFFFFF"/>
          </w:tcPr>
          <w:p>
            <w:pPr>
              <w:keepNext w:val="0"/>
              <w:spacing w:after="0" w:line="269" w:lineRule="auto"/>
              <w:jc w:val="center"/>
            </w:pPr>
            <w:r>
              <w:rPr>
                <w:b w:val="0"/>
                <w:sz w:val="19"/>
              </w:rPr>
              <w:t>组合年化波动</w:t>
            </w:r>
          </w:p>
        </w:tc>
        <w:tc>
          <w:tcPr>
            <w:tcW w:type="dxa" w:w="5102"/>
            <w:vAlign w:val="center"/>
            <w:shd w:fill="FFFFFF"/>
          </w:tcPr>
          <w:p>
            <w:pPr>
              <w:keepNext w:val="0"/>
              <w:spacing w:after="0" w:line="269" w:lineRule="auto"/>
            </w:pPr>
            <w:r>
              <w:rPr>
                <w:b w:val="0"/>
                <w:sz w:val="19"/>
              </w:rPr>
              <w:t>=STDEV.S(B2:B13)*SQRT(12)</w:t>
            </w:r>
          </w:p>
        </w:tc>
        <w:tc>
          <w:tcPr>
            <w:tcW w:type="dxa" w:w="2268"/>
            <w:vAlign w:val="center"/>
            <w:shd w:fill="FFFFFF"/>
          </w:tcPr>
          <w:p>
            <w:pPr>
              <w:keepNext w:val="0"/>
              <w:spacing w:after="0" w:line="269" w:lineRule="auto"/>
              <w:jc w:val="center"/>
            </w:pPr>
            <w:r>
              <w:rPr>
                <w:b w:val="0"/>
                <w:sz w:val="19"/>
              </w:rPr>
              <w:t>7.2864%</w:t>
            </w:r>
          </w:p>
        </w:tc>
      </w:tr>
      <w:tr>
        <w:trPr>
          <w:cantSplit/>
        </w:trPr>
        <w:tc>
          <w:tcPr>
            <w:tcW w:type="dxa" w:w="2098"/>
            <w:vAlign w:val="center"/>
            <w:shd w:fill="FFFFFF"/>
          </w:tcPr>
          <w:p>
            <w:pPr>
              <w:keepNext w:val="0"/>
              <w:spacing w:after="0" w:line="269" w:lineRule="auto"/>
              <w:jc w:val="center"/>
            </w:pPr>
            <w:r>
              <w:rPr>
                <w:b w:val="0"/>
                <w:sz w:val="19"/>
              </w:rPr>
              <w:t>年化跟踪误差</w:t>
            </w:r>
          </w:p>
        </w:tc>
        <w:tc>
          <w:tcPr>
            <w:tcW w:type="dxa" w:w="5102"/>
            <w:vAlign w:val="center"/>
            <w:shd w:fill="FFFFFF"/>
          </w:tcPr>
          <w:p>
            <w:pPr>
              <w:keepNext w:val="0"/>
              <w:spacing w:after="0" w:line="269" w:lineRule="auto"/>
            </w:pPr>
            <w:r>
              <w:rPr>
                <w:b w:val="0"/>
                <w:sz w:val="19"/>
              </w:rPr>
              <w:t>=STDEV.S(E2:E13)*SQRT(12)</w:t>
            </w:r>
          </w:p>
        </w:tc>
        <w:tc>
          <w:tcPr>
            <w:tcW w:type="dxa" w:w="2268"/>
            <w:vAlign w:val="center"/>
            <w:shd w:fill="FFFFFF"/>
          </w:tcPr>
          <w:p>
            <w:pPr>
              <w:keepNext w:val="0"/>
              <w:spacing w:after="0" w:line="269" w:lineRule="auto"/>
              <w:jc w:val="center"/>
            </w:pPr>
            <w:r>
              <w:rPr>
                <w:b w:val="0"/>
                <w:sz w:val="19"/>
              </w:rPr>
              <w:t>1.4780%</w:t>
            </w:r>
          </w:p>
        </w:tc>
      </w:tr>
      <w:tr>
        <w:trPr>
          <w:cantSplit/>
        </w:trPr>
        <w:tc>
          <w:tcPr>
            <w:tcW w:type="dxa" w:w="2098"/>
            <w:vAlign w:val="center"/>
            <w:shd w:fill="FFFFFF"/>
          </w:tcPr>
          <w:p>
            <w:pPr>
              <w:keepNext w:val="0"/>
              <w:spacing w:after="0" w:line="269" w:lineRule="auto"/>
              <w:jc w:val="center"/>
            </w:pPr>
            <w:r>
              <w:rPr>
                <w:b w:val="0"/>
                <w:sz w:val="19"/>
              </w:rPr>
              <w:t>年化 Sharpe</w:t>
            </w:r>
          </w:p>
        </w:tc>
        <w:tc>
          <w:tcPr>
            <w:tcW w:type="dxa" w:w="5102"/>
            <w:vAlign w:val="center"/>
            <w:shd w:fill="FFFFFF"/>
          </w:tcPr>
          <w:p>
            <w:pPr>
              <w:keepNext w:val="0"/>
              <w:spacing w:after="0" w:line="269" w:lineRule="auto"/>
            </w:pPr>
            <w:r>
              <w:rPr>
                <w:b w:val="0"/>
                <w:sz w:val="19"/>
              </w:rPr>
              <w:t>=AVERAGE(F2:F13)/STDEV.S(F2:F13)*SQRT(12)</w:t>
            </w:r>
          </w:p>
        </w:tc>
        <w:tc>
          <w:tcPr>
            <w:tcW w:type="dxa" w:w="2268"/>
            <w:vAlign w:val="center"/>
            <w:shd w:fill="FFFFFF"/>
          </w:tcPr>
          <w:p>
            <w:pPr>
              <w:keepNext w:val="0"/>
              <w:spacing w:after="0" w:line="269" w:lineRule="auto"/>
              <w:jc w:val="center"/>
            </w:pPr>
            <w:r>
              <w:rPr>
                <w:b w:val="0"/>
                <w:sz w:val="19"/>
              </w:rPr>
              <w:t>1.1254</w:t>
            </w:r>
          </w:p>
        </w:tc>
      </w:tr>
      <w:tr>
        <w:trPr>
          <w:cantSplit/>
        </w:trPr>
        <w:tc>
          <w:tcPr>
            <w:tcW w:type="dxa" w:w="2098"/>
            <w:vAlign w:val="center"/>
            <w:shd w:fill="FFFFFF"/>
          </w:tcPr>
          <w:p>
            <w:pPr>
              <w:keepNext w:val="0"/>
              <w:spacing w:after="0" w:line="269" w:lineRule="auto"/>
              <w:jc w:val="center"/>
            </w:pPr>
            <w:r>
              <w:rPr>
                <w:b w:val="0"/>
                <w:sz w:val="19"/>
              </w:rPr>
              <w:t>年化 IR</w:t>
            </w:r>
          </w:p>
        </w:tc>
        <w:tc>
          <w:tcPr>
            <w:tcW w:type="dxa" w:w="5102"/>
            <w:vAlign w:val="center"/>
            <w:shd w:fill="FFFFFF"/>
          </w:tcPr>
          <w:p>
            <w:pPr>
              <w:keepNext w:val="0"/>
              <w:spacing w:after="0" w:line="269" w:lineRule="auto"/>
            </w:pPr>
            <w:r>
              <w:rPr>
                <w:b w:val="0"/>
                <w:sz w:val="19"/>
              </w:rPr>
              <w:t>=AVERAGE(E2:E13)/STDEV.S(E2:E13)*SQRT(12)</w:t>
            </w:r>
          </w:p>
        </w:tc>
        <w:tc>
          <w:tcPr>
            <w:tcW w:type="dxa" w:w="2268"/>
            <w:vAlign w:val="center"/>
            <w:shd w:fill="FFFFFF"/>
          </w:tcPr>
          <w:p>
            <w:pPr>
              <w:keepNext w:val="0"/>
              <w:spacing w:after="0" w:line="269" w:lineRule="auto"/>
              <w:jc w:val="center"/>
            </w:pPr>
            <w:r>
              <w:rPr>
                <w:b w:val="0"/>
                <w:sz w:val="19"/>
              </w:rPr>
              <w:t>2.2327</w:t>
            </w:r>
          </w:p>
        </w:tc>
      </w:tr>
      <w:tr>
        <w:trPr>
          <w:cantSplit/>
        </w:trPr>
        <w:tc>
          <w:tcPr>
            <w:tcW w:type="dxa" w:w="2098"/>
            <w:vAlign w:val="center"/>
            <w:shd w:fill="FFFFFF"/>
          </w:tcPr>
          <w:p>
            <w:pPr>
              <w:keepNext w:val="0"/>
              <w:spacing w:after="0" w:line="269" w:lineRule="auto"/>
              <w:jc w:val="center"/>
            </w:pPr>
            <w:r>
              <w:rPr>
                <w:b w:val="0"/>
                <w:sz w:val="19"/>
              </w:rPr>
              <w:t>最大回撤</w:t>
            </w:r>
          </w:p>
        </w:tc>
        <w:tc>
          <w:tcPr>
            <w:tcW w:type="dxa" w:w="5102"/>
            <w:vAlign w:val="center"/>
            <w:shd w:fill="FFFFFF"/>
          </w:tcPr>
          <w:p>
            <w:pPr>
              <w:keepNext w:val="0"/>
              <w:spacing w:after="0" w:line="269" w:lineRule="auto"/>
            </w:pPr>
            <w:r>
              <w:rPr>
                <w:b w:val="0"/>
                <w:sz w:val="19"/>
              </w:rPr>
              <w:t>= -MIN(I2:I13)</w:t>
            </w:r>
          </w:p>
        </w:tc>
        <w:tc>
          <w:tcPr>
            <w:tcW w:type="dxa" w:w="2268"/>
            <w:vAlign w:val="center"/>
            <w:shd w:fill="FFFFFF"/>
          </w:tcPr>
          <w:p>
            <w:pPr>
              <w:keepNext w:val="0"/>
              <w:spacing w:after="0" w:line="269" w:lineRule="auto"/>
              <w:jc w:val="center"/>
            </w:pPr>
            <w:r>
              <w:rPr>
                <w:b w:val="0"/>
                <w:sz w:val="19"/>
              </w:rPr>
              <w:t>3.00%</w:t>
            </w:r>
          </w:p>
        </w:tc>
      </w:tr>
      <w:tr>
        <w:trPr>
          <w:cantSplit/>
        </w:trPr>
        <w:tc>
          <w:tcPr>
            <w:tcW w:type="dxa" w:w="2098"/>
            <w:vAlign w:val="center"/>
            <w:shd w:fill="FFFFFF"/>
          </w:tcPr>
          <w:p>
            <w:pPr>
              <w:keepNext w:val="0"/>
              <w:spacing w:after="0" w:line="269" w:lineRule="auto"/>
              <w:jc w:val="center"/>
            </w:pPr>
            <w:r>
              <w:rPr>
                <w:b w:val="0"/>
                <w:sz w:val="19"/>
              </w:rPr>
              <w:t>M² 调整后收益</w:t>
            </w:r>
          </w:p>
        </w:tc>
        <w:tc>
          <w:tcPr>
            <w:tcW w:type="dxa" w:w="5102"/>
            <w:vAlign w:val="center"/>
            <w:shd w:fill="FFFFFF"/>
          </w:tcPr>
          <w:p>
            <w:pPr>
              <w:keepNext w:val="0"/>
              <w:spacing w:after="0" w:line="269" w:lineRule="auto"/>
              <w:jc w:val="center"/>
            </w:pPr>
            <w:r>
              <w:rPr>
                <w:b w:val="0"/>
                <w:sz w:val="19"/>
              </w:rPr>
              <w:t>按第三部分公式计算</w:t>
            </w:r>
          </w:p>
        </w:tc>
        <w:tc>
          <w:tcPr>
            <w:tcW w:type="dxa" w:w="2268"/>
            <w:vAlign w:val="center"/>
            <w:shd w:fill="FFFFFF"/>
          </w:tcPr>
          <w:p>
            <w:pPr>
              <w:keepNext w:val="0"/>
              <w:spacing w:after="0" w:line="269" w:lineRule="auto"/>
              <w:jc w:val="center"/>
            </w:pPr>
            <w:r>
              <w:rPr>
                <w:b w:val="0"/>
                <w:sz w:val="19"/>
              </w:rPr>
              <w:t>8.4668%</w:t>
            </w:r>
          </w:p>
        </w:tc>
      </w:tr>
      <w:tr>
        <w:trPr>
          <w:cantSplit/>
        </w:trPr>
        <w:tc>
          <w:tcPr>
            <w:tcW w:type="dxa" w:w="2098"/>
            <w:vAlign w:val="center"/>
            <w:shd w:fill="FFFFFF"/>
          </w:tcPr>
          <w:p>
            <w:pPr>
              <w:keepNext w:val="0"/>
              <w:spacing w:after="0" w:line="269" w:lineRule="auto"/>
              <w:jc w:val="center"/>
            </w:pPr>
            <w:r>
              <w:rPr>
                <w:b w:val="0"/>
                <w:sz w:val="19"/>
              </w:rPr>
              <w:t>M² 相对差额</w:t>
            </w:r>
          </w:p>
        </w:tc>
        <w:tc>
          <w:tcPr>
            <w:tcW w:type="dxa" w:w="5102"/>
            <w:vAlign w:val="center"/>
            <w:shd w:fill="FFFFFF"/>
          </w:tcPr>
          <w:p>
            <w:pPr>
              <w:keepNext w:val="0"/>
              <w:spacing w:after="0" w:line="269" w:lineRule="auto"/>
            </w:pPr>
            <w:r>
              <w:rPr>
                <w:b w:val="0"/>
                <w:sz w:val="19"/>
              </w:rPr>
              <w:t>M²-AVERAGE(C2:C13)*12</w:t>
            </w:r>
          </w:p>
        </w:tc>
        <w:tc>
          <w:tcPr>
            <w:tcW w:type="dxa" w:w="2268"/>
            <w:vAlign w:val="center"/>
            <w:shd w:fill="FFFFFF"/>
          </w:tcPr>
          <w:p>
            <w:pPr>
              <w:keepNext w:val="0"/>
              <w:spacing w:after="0" w:line="269" w:lineRule="auto"/>
              <w:jc w:val="center"/>
            </w:pPr>
            <w:r>
              <w:rPr>
                <w:b w:val="0"/>
                <w:sz w:val="19"/>
              </w:rPr>
              <w:t>1.7668 个百分点</w:t>
            </w:r>
          </w:p>
        </w:tc>
      </w:tr>
    </w:tbl>
    <w:p>
      <w:pPr>
        <w:spacing w:after="0"/>
      </w:pPr>
    </w:p>
    <w:p>
      <w:pPr>
        <w:spacing w:line="276" w:lineRule="auto" w:after="100"/>
      </w:pPr>
      <w:r>
        <w:rPr>
          <w:color w:val="000000"/>
          <w:sz w:val="18"/>
        </w:rPr>
        <w:t>12 个完整月使累计收益与该区间的年化几何收益相同。标准差使用 STDEV.S，即 n−1 分母。PRODUCT(1+C2:C13) 在旧版 Excel 中可能需要数组输入，也可新增“1+基准收益”辅助列后再连乘。</w:t>
      </w:r>
    </w:p>
    <w:p>
      <w:pPr>
        <w:pStyle w:val="Heading2"/>
      </w:pPr>
      <w:r>
        <w:rPr>
          <w:color w:val="000000"/>
        </w:rPr>
        <w:t>4 将数字转化为有边界的结论</w:t>
      </w:r>
    </w:p>
    <w:p>
      <w:r>
        <w:rPr>
          <w:color w:val="000000"/>
        </w:rPr>
        <w:t>本演示组合累计收益为 10.21%，高于基准 3.47 个百分点；年化 IR 为 2.23。这些结果描述样本内相对表现，不能据此认定已经获得稳定 Alpha。样本只有 12 个月，且没有实际持仓、因子与成交数据，尚不能完成能力、交易容量和尾部风险评价。</w:t>
      </w:r>
    </w:p>
    <w:p>
      <w:r>
        <w:rPr>
          <w:color w:val="000000"/>
        </w:rPr>
        <w:t>回撤在第 8 月达到月末观察下的 3.00%，第 9 月末恢复并超过此前峰值。它不包含月内路径，不能据此声称实际最大回撤只有 3%。M² 调整收益使用年化算术均值，须与同口径基准均值 6.70% 比较，不能直接减去基准累计收益。</w:t>
      </w:r>
    </w:p>
    <w:p>
      <w:pPr>
        <w:pStyle w:val="Heading2"/>
      </w:pPr>
      <w:r>
        <w:rPr>
          <w:color w:val="000000"/>
        </w:rPr>
        <w:t>5 完成实际报告前的复核顺序</w:t>
      </w:r>
    </w:p>
    <w:p>
      <w:r>
        <w:rPr>
          <w:color w:val="000000"/>
        </w:rPr>
        <w:t>先核对总收益与净值，再核对现金流和费用；随后检查组合与基准对齐、样本数、缺失值和异常值。归因贡献应逐期与主动收益对账，净 Alpha 应基于扣费后序列重估，监控指标应统一期限。保留数据版本、参数和计算记录，确保下一期可以按同一口径更新。</w:t>
      </w:r>
    </w:p>
    <w:p>
      <w:pPr>
        <w:pStyle w:val="Heading1"/>
        <w:pageBreakBefore/>
      </w:pPr>
      <w:r>
        <w:rPr>
          <w:color w:val="000000"/>
        </w:rPr>
        <w:t>十 形成可用于管理决策的结论</w:t>
      </w:r>
    </w:p>
    <w:p>
      <w:r>
        <w:rPr>
          <w:color w:val="000000"/>
        </w:rPr>
        <w:t>最终报告应把“观察到的表现”“可以支持的解释”和“需要进一步验证的判断”分开。高质量 Alpha 需要统计证据、经济价值、来源解释、风险可持续性和执行可复制性共同支撑，任何一个维度不足，都应降低结论强度。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87"/>
        <w:gridCol w:w="4365"/>
        <w:gridCol w:w="3515"/>
      </w:tblGrid>
      <w:tr>
        <w:trPr>
          <w:cantSplit/>
          <w:tblHeader/>
        </w:trPr>
        <w:tc>
          <w:tcPr>
            <w:tcW w:type="dxa" w:w="1587"/>
            <w:vAlign w:val="center"/>
            <w:shd w:fill="DFE8F0"/>
          </w:tcPr>
          <w:p>
            <w:pPr>
              <w:keepNext/>
              <w:spacing w:after="0" w:line="269" w:lineRule="auto"/>
              <w:jc w:val="center"/>
            </w:pPr>
            <w:r>
              <w:rPr>
                <w:b/>
                <w:sz w:val="19"/>
              </w:rPr>
              <w:t>判断维度</w:t>
            </w:r>
          </w:p>
        </w:tc>
        <w:tc>
          <w:tcPr>
            <w:tcW w:type="dxa" w:w="4365"/>
            <w:vAlign w:val="center"/>
            <w:shd w:fill="DFE8F0"/>
          </w:tcPr>
          <w:p>
            <w:pPr>
              <w:keepNext/>
              <w:spacing w:after="0" w:line="269" w:lineRule="auto"/>
              <w:jc w:val="center"/>
            </w:pPr>
            <w:r>
              <w:rPr>
                <w:b/>
                <w:sz w:val="19"/>
              </w:rPr>
              <w:t>报告应呈现的证据</w:t>
            </w:r>
          </w:p>
        </w:tc>
        <w:tc>
          <w:tcPr>
            <w:tcW w:type="dxa" w:w="3515"/>
            <w:vAlign w:val="center"/>
            <w:shd w:fill="DFE8F0"/>
          </w:tcPr>
          <w:p>
            <w:pPr>
              <w:keepNext/>
              <w:spacing w:after="0" w:line="269" w:lineRule="auto"/>
              <w:jc w:val="center"/>
            </w:pPr>
            <w:r>
              <w:rPr>
                <w:b/>
                <w:sz w:val="19"/>
              </w:rPr>
              <w:t>常见后续动作</w:t>
            </w:r>
          </w:p>
        </w:tc>
      </w:tr>
      <w:tr>
        <w:trPr>
          <w:cantSplit/>
        </w:trPr>
        <w:tc>
          <w:tcPr>
            <w:tcW w:type="dxa" w:w="1587"/>
            <w:vAlign w:val="center"/>
            <w:shd w:fill="FFFFFF"/>
          </w:tcPr>
          <w:p>
            <w:pPr>
              <w:keepNext w:val="0"/>
              <w:spacing w:after="0" w:line="269" w:lineRule="auto"/>
              <w:jc w:val="center"/>
            </w:pPr>
            <w:r>
              <w:rPr>
                <w:b w:val="0"/>
                <w:sz w:val="19"/>
              </w:rPr>
              <w:t>统计支持</w:t>
            </w:r>
          </w:p>
        </w:tc>
        <w:tc>
          <w:tcPr>
            <w:tcW w:type="dxa" w:w="4365"/>
            <w:vAlign w:val="center"/>
            <w:shd w:fill="FFFFFF"/>
          </w:tcPr>
          <w:p>
            <w:pPr>
              <w:keepNext w:val="0"/>
              <w:spacing w:after="0" w:line="269" w:lineRule="auto"/>
            </w:pPr>
            <w:r>
              <w:rPr>
                <w:b w:val="0"/>
                <w:sz w:val="19"/>
              </w:rPr>
              <w:t>Alpha 估计、区间、稳健检验与样本长度</w:t>
            </w:r>
          </w:p>
        </w:tc>
        <w:tc>
          <w:tcPr>
            <w:tcW w:type="dxa" w:w="3515"/>
            <w:vAlign w:val="center"/>
            <w:shd w:fill="FFFFFF"/>
          </w:tcPr>
          <w:p>
            <w:pPr>
              <w:keepNext w:val="0"/>
              <w:spacing w:after="0" w:line="269" w:lineRule="auto"/>
              <w:jc w:val="center"/>
            </w:pPr>
            <w:r>
              <w:rPr>
                <w:b w:val="0"/>
                <w:sz w:val="19"/>
              </w:rPr>
              <w:t>延长观察，补充样本外检验</w:t>
            </w:r>
          </w:p>
        </w:tc>
      </w:tr>
      <w:tr>
        <w:trPr>
          <w:cantSplit/>
        </w:trPr>
        <w:tc>
          <w:tcPr>
            <w:tcW w:type="dxa" w:w="1587"/>
            <w:vAlign w:val="center"/>
            <w:shd w:fill="FFFFFF"/>
          </w:tcPr>
          <w:p>
            <w:pPr>
              <w:keepNext w:val="0"/>
              <w:spacing w:after="0" w:line="269" w:lineRule="auto"/>
              <w:jc w:val="center"/>
            </w:pPr>
            <w:r>
              <w:rPr>
                <w:b w:val="0"/>
                <w:sz w:val="19"/>
              </w:rPr>
              <w:t>经济价值</w:t>
            </w:r>
          </w:p>
        </w:tc>
        <w:tc>
          <w:tcPr>
            <w:tcW w:type="dxa" w:w="4365"/>
            <w:vAlign w:val="center"/>
            <w:shd w:fill="FFFFFF"/>
          </w:tcPr>
          <w:p>
            <w:pPr>
              <w:keepNext w:val="0"/>
              <w:spacing w:after="0" w:line="269" w:lineRule="auto"/>
            </w:pPr>
            <w:r>
              <w:rPr>
                <w:b w:val="0"/>
                <w:sz w:val="19"/>
              </w:rPr>
              <w:t>扣费后收益、风险补偿和容量敏感性</w:t>
            </w:r>
          </w:p>
        </w:tc>
        <w:tc>
          <w:tcPr>
            <w:tcW w:type="dxa" w:w="3515"/>
            <w:vAlign w:val="center"/>
            <w:shd w:fill="FFFFFF"/>
          </w:tcPr>
          <w:p>
            <w:pPr>
              <w:keepNext w:val="0"/>
              <w:spacing w:after="0" w:line="269" w:lineRule="auto"/>
              <w:jc w:val="center"/>
            </w:pPr>
            <w:r>
              <w:rPr>
                <w:b w:val="0"/>
                <w:sz w:val="19"/>
              </w:rPr>
              <w:t>复核费用与实际成交成本</w:t>
            </w:r>
          </w:p>
        </w:tc>
      </w:tr>
      <w:tr>
        <w:trPr>
          <w:cantSplit/>
        </w:trPr>
        <w:tc>
          <w:tcPr>
            <w:tcW w:type="dxa" w:w="1587"/>
            <w:vAlign w:val="center"/>
            <w:shd w:fill="FFFFFF"/>
          </w:tcPr>
          <w:p>
            <w:pPr>
              <w:keepNext w:val="0"/>
              <w:spacing w:after="0" w:line="269" w:lineRule="auto"/>
              <w:jc w:val="center"/>
            </w:pPr>
            <w:r>
              <w:rPr>
                <w:b w:val="0"/>
                <w:sz w:val="19"/>
              </w:rPr>
              <w:t>来源解释</w:t>
            </w:r>
          </w:p>
        </w:tc>
        <w:tc>
          <w:tcPr>
            <w:tcW w:type="dxa" w:w="4365"/>
            <w:vAlign w:val="center"/>
            <w:shd w:fill="FFFFFF"/>
          </w:tcPr>
          <w:p>
            <w:pPr>
              <w:keepNext w:val="0"/>
              <w:spacing w:after="0" w:line="269" w:lineRule="auto"/>
            </w:pPr>
            <w:r>
              <w:rPr>
                <w:b w:val="0"/>
                <w:sz w:val="19"/>
              </w:rPr>
              <w:t>市场、风格、配置、选择及剩余项</w:t>
            </w:r>
          </w:p>
        </w:tc>
        <w:tc>
          <w:tcPr>
            <w:tcW w:type="dxa" w:w="3515"/>
            <w:vAlign w:val="center"/>
            <w:shd w:fill="FFFFFF"/>
          </w:tcPr>
          <w:p>
            <w:pPr>
              <w:keepNext w:val="0"/>
              <w:spacing w:after="0" w:line="269" w:lineRule="auto"/>
              <w:jc w:val="center"/>
            </w:pPr>
            <w:r>
              <w:rPr>
                <w:b w:val="0"/>
                <w:sz w:val="19"/>
              </w:rPr>
              <w:t>补充持仓和因子归因</w:t>
            </w:r>
          </w:p>
        </w:tc>
      </w:tr>
      <w:tr>
        <w:trPr>
          <w:cantSplit/>
        </w:trPr>
        <w:tc>
          <w:tcPr>
            <w:tcW w:type="dxa" w:w="1587"/>
            <w:vAlign w:val="center"/>
            <w:shd w:fill="FFFFFF"/>
          </w:tcPr>
          <w:p>
            <w:pPr>
              <w:keepNext w:val="0"/>
              <w:spacing w:after="0" w:line="269" w:lineRule="auto"/>
              <w:jc w:val="center"/>
            </w:pPr>
            <w:r>
              <w:rPr>
                <w:b w:val="0"/>
                <w:sz w:val="19"/>
              </w:rPr>
              <w:t>风险持续性</w:t>
            </w:r>
          </w:p>
        </w:tc>
        <w:tc>
          <w:tcPr>
            <w:tcW w:type="dxa" w:w="4365"/>
            <w:vAlign w:val="center"/>
            <w:shd w:fill="FFFFFF"/>
          </w:tcPr>
          <w:p>
            <w:pPr>
              <w:keepNext w:val="0"/>
              <w:spacing w:after="0" w:line="269" w:lineRule="auto"/>
            </w:pPr>
            <w:r>
              <w:rPr>
                <w:b w:val="0"/>
                <w:sz w:val="19"/>
              </w:rPr>
              <w:t>回撤、尾部、杠杆、信用和流动性</w:t>
            </w:r>
          </w:p>
        </w:tc>
        <w:tc>
          <w:tcPr>
            <w:tcW w:type="dxa" w:w="3515"/>
            <w:vAlign w:val="center"/>
            <w:shd w:fill="FFFFFF"/>
          </w:tcPr>
          <w:p>
            <w:pPr>
              <w:keepNext w:val="0"/>
              <w:spacing w:after="0" w:line="269" w:lineRule="auto"/>
              <w:jc w:val="center"/>
            </w:pPr>
            <w:r>
              <w:rPr>
                <w:b w:val="0"/>
                <w:sz w:val="19"/>
              </w:rPr>
              <w:t>检视集中度与风险预算</w:t>
            </w:r>
          </w:p>
        </w:tc>
      </w:tr>
      <w:tr>
        <w:trPr>
          <w:cantSplit/>
        </w:trPr>
        <w:tc>
          <w:tcPr>
            <w:tcW w:type="dxa" w:w="1587"/>
            <w:vAlign w:val="center"/>
            <w:shd w:fill="FFFFFF"/>
          </w:tcPr>
          <w:p>
            <w:pPr>
              <w:keepNext w:val="0"/>
              <w:spacing w:after="0" w:line="269" w:lineRule="auto"/>
              <w:jc w:val="center"/>
            </w:pPr>
            <w:r>
              <w:rPr>
                <w:b w:val="0"/>
                <w:sz w:val="19"/>
              </w:rPr>
              <w:t>执行复制性</w:t>
            </w:r>
          </w:p>
        </w:tc>
        <w:tc>
          <w:tcPr>
            <w:tcW w:type="dxa" w:w="4365"/>
            <w:vAlign w:val="center"/>
            <w:shd w:fill="FFFFFF"/>
          </w:tcPr>
          <w:p>
            <w:pPr>
              <w:keepNext w:val="0"/>
              <w:spacing w:after="0" w:line="269" w:lineRule="auto"/>
            </w:pPr>
            <w:r>
              <w:rPr>
                <w:b w:val="0"/>
                <w:sz w:val="19"/>
              </w:rPr>
              <w:t>稳定规则、数据版本和交易可实现性</w:t>
            </w:r>
          </w:p>
        </w:tc>
        <w:tc>
          <w:tcPr>
            <w:tcW w:type="dxa" w:w="3515"/>
            <w:vAlign w:val="center"/>
            <w:shd w:fill="FFFFFF"/>
          </w:tcPr>
          <w:p>
            <w:pPr>
              <w:keepNext w:val="0"/>
              <w:spacing w:after="0" w:line="269" w:lineRule="auto"/>
              <w:jc w:val="center"/>
            </w:pPr>
            <w:r>
              <w:rPr>
                <w:b w:val="0"/>
                <w:sz w:val="19"/>
              </w:rPr>
              <w:t>记录流程，跟踪规模扩张影响</w:t>
            </w:r>
          </w:p>
        </w:tc>
      </w:tr>
    </w:tbl>
    <w:p>
      <w:pPr>
        <w:spacing w:after="0"/>
      </w:pPr>
    </w:p>
    <w:p>
      <w:pPr>
        <w:pStyle w:val="Heading2"/>
      </w:pPr>
      <w:r>
        <w:rPr>
          <w:color w:val="000000"/>
        </w:rPr>
        <w:t>建议采用的结论写法</w:t>
      </w:r>
    </w:p>
    <w:p>
      <w:r>
        <w:rPr>
          <w:color w:val="000000"/>
        </w:rPr>
        <w:t>先写评价区间、基准和费用口径，再报告累计与年化收益、主动收益、风险和回撤；说明主要收益来源及统计证据，列明成本与容量约束；最后给出保持观察、专项复核或调整风险预算等与证据相匹配的动作。未做的检验应标明状态，不以定性判断代替计算。</w:t>
      </w:r>
    </w:p>
    <w:p>
      <w:r>
        <w:rPr>
          <w:color w:val="000000"/>
        </w:rPr>
        <w:t>例如：“在约定基准和费用口径下，组合在本期获得正主动收益，主要来源为已识别的配置或选择贡献。Alpha 是否稳定，需要结合更长样本、稳健标准误与扣费后检验判断。后续按既定频率跟踪主动风险、回撤和流动性；达到预警条件时启动复核。”实际使用时应替换为可核验的数值、期间和结论。</w:t>
      </w:r>
    </w:p>
    <w:p>
      <w:pPr>
        <w:pStyle w:val="Heading2"/>
      </w:pPr>
      <w:r>
        <w:rPr>
          <w:color w:val="000000"/>
        </w:rPr>
        <w:t>方法资料</w:t>
      </w:r>
    </w:p>
    <w:p>
      <w:pPr>
        <w:spacing w:line="276" w:lineRule="auto" w:after="100"/>
      </w:pPr>
      <w:r>
        <w:rPr>
          <w:color w:val="000000"/>
          <w:sz w:val="18"/>
        </w:rPr>
        <w:t>以下资料用于核对主要方法。原案例的图表数据来自原文，不是下列资料提供的复算结果；新增数值均为教学演示。</w:t>
      </w:r>
    </w:p>
    <w:p>
      <w:pPr>
        <w:spacing w:after="100"/>
      </w:pPr>
      <w:hyperlink r:id="rId11">
        <w:r>
          <w:rPr>
            <w:color w:val="24547A"/>
            <w:sz w:val="19"/>
          </w:rPr>
          <w:t>[1] GIPS Standards Handbook for Firms  收益计算与现金流处理</w:t>
        </w:r>
      </w:hyperlink>
    </w:p>
    <w:p>
      <w:pPr>
        <w:spacing w:after="100"/>
      </w:pPr>
      <w:hyperlink r:id="rId12">
        <w:r>
          <w:rPr>
            <w:color w:val="24547A"/>
            <w:sz w:val="19"/>
          </w:rPr>
          <w:t>[2] William F Sharpe  The Sharpe Ratio  1994</w:t>
        </w:r>
      </w:hyperlink>
    </w:p>
    <w:p>
      <w:pPr>
        <w:spacing w:after="100"/>
      </w:pPr>
      <w:hyperlink r:id="rId13">
        <w:r>
          <w:rPr>
            <w:color w:val="24547A"/>
            <w:sz w:val="19"/>
          </w:rPr>
          <w:t>[3] CFA Institute  Analysis of Active Portfolio Management</w:t>
        </w:r>
      </w:hyperlink>
    </w:p>
    <w:p>
      <w:pPr>
        <w:spacing w:after="100"/>
      </w:pPr>
      <w:hyperlink r:id="rId14">
        <w:r>
          <w:rPr>
            <w:color w:val="24547A"/>
            <w:sz w:val="19"/>
          </w:rPr>
          <w:t>[4] William F Sharpe  Asset Allocation Management Style and Performance Measurement  1992</w:t>
        </w:r>
      </w:hyperlink>
    </w:p>
    <w:p>
      <w:pPr>
        <w:spacing w:after="100"/>
      </w:pPr>
      <w:hyperlink r:id="rId15">
        <w:r>
          <w:rPr>
            <w:color w:val="24547A"/>
            <w:sz w:val="19"/>
          </w:rPr>
          <w:t>[5] Kenneth R French Data Library  因子数据与定义</w:t>
        </w:r>
      </w:hyperlink>
    </w:p>
    <w:p>
      <w:pPr>
        <w:spacing w:after="100"/>
      </w:pPr>
      <w:hyperlink r:id="rId16">
        <w:r>
          <w:rPr>
            <w:color w:val="24547A"/>
            <w:sz w:val="19"/>
          </w:rPr>
          <w:t>[6] Bank for International Settlements  MAR10 Market Risk Terminology</w:t>
        </w:r>
      </w:hyperlink>
    </w:p>
    <w:p>
      <w:pPr>
        <w:spacing w:line="276" w:lineRule="auto" w:after="100"/>
      </w:pPr>
      <w:r>
        <w:rPr>
          <w:color w:val="000000"/>
          <w:sz w:val="18"/>
        </w:rPr>
        <w:t>资料核对日期  2026 年 9 月 18 日</w:t>
      </w:r>
    </w:p>
    <w:sectPr w:rsidR="00FC693F" w:rsidRPr="0006063C" w:rsidSect="00034616">
      <w:footerReference w:type="default" r:id="rId9"/>
      <w:pgSz w:w="11906" w:h="16838"/>
      <w:pgMar w:top="1162"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snapToGrid w:val="0"/>
    </w:pPr>
    <w:rPr>
      <w:rFonts w:ascii="Calibri" w:hAnsi="Calibri"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76" w:lineRule="auto"/>
      <w:outlineLvl w:val="0"/>
    </w:pPr>
    <w:rPr>
      <w:rFonts w:asciiTheme="majorHAnsi" w:eastAsiaTheme="majorEastAsia" w:hAnsiTheme="majorHAnsi" w:cstheme="majorBidi" w:ascii="Calibri" w:hAnsi="Calibri"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Calibri" w:hAnsi="Calibri"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Theme="majorHAnsi" w:eastAsiaTheme="majorEastAsia" w:hAnsiTheme="majorHAnsi" w:cstheme="majorBidi" w:ascii="Calibri" w:hAnsi="Calibri"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0"/>
      <w:contextualSpacing/>
    </w:pPr>
    <w:rPr>
      <w:rFonts w:asciiTheme="majorHAnsi" w:eastAsiaTheme="majorEastAsia" w:hAnsiTheme="majorHAnsi" w:cstheme="majorBidi" w:ascii="Calibri" w:hAnsi="Calibri" w:eastAsia="黑体"/>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line="276" w:lineRule="auto"/>
    </w:pPr>
    <w:rPr>
      <w:rFonts w:asciiTheme="majorHAnsi" w:eastAsiaTheme="majorEastAsia" w:hAnsiTheme="majorHAnsi" w:cstheme="majorBidi" w:ascii="Calibri" w:hAnsi="Calibri" w:eastAsia="黑体"/>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20"/>
    </w:pPr>
    <w:rPr>
      <w:rFonts w:ascii="Calibri" w:hAnsi="Calibri"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gipsstandards.org/standards/gips-standards-for-firms/gips-standards-handbook-for-firms/" TargetMode="External"/><Relationship Id="rId12" Type="http://schemas.openxmlformats.org/officeDocument/2006/relationships/hyperlink" Target="https://web.stanford.edu/~wfsharpe/art/sr/sr.htm" TargetMode="External"/><Relationship Id="rId13" Type="http://schemas.openxmlformats.org/officeDocument/2006/relationships/hyperlink" Target="https://www.cfainstitute.org/insights/professional-learning/refresher-readings/2026/analysis-active-portfolio-management" TargetMode="External"/><Relationship Id="rId14" Type="http://schemas.openxmlformats.org/officeDocument/2006/relationships/hyperlink" Target="https://web.stanford.edu/~wfsharpe/art/sa/sa.htm" TargetMode="External"/><Relationship Id="rId15" Type="http://schemas.openxmlformats.org/officeDocument/2006/relationships/hyperlink" Target="https://mba.tuck.dartmouth.edu/pages/faculty/ken.french/data_library.html" TargetMode="External"/><Relationship Id="rId16" Type="http://schemas.openxmlformats.org/officeDocument/2006/relationships/hyperlink" Target="https://www.bis.org/basel_framework/chapter/MAR/10.htm?inforce=20230101&amp;published=20200327&amp;tldate=20040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投资组合绩效评估</dc:title>
  <dc:subject>评价框架 计算方法 收益归因与风险监控</dc:subject>
  <dc:creator/>
  <cp:keywords>投资组合 绩效评估 收益归因 风险监控</cp:keywords>
  <dc:description>generated by python-docx</dc:description>
  <cp:lastModifiedBy/>
  <cp:revision>1</cp:revision>
  <dcterms:created xsi:type="dcterms:W3CDTF">2013-12-23T23:15:00Z</dcterms:created>
  <dcterms:modified xsi:type="dcterms:W3CDTF">2013-12-23T23:15:00Z</dcterms:modified>
  <cp:category/>
</cp:coreProperties>
</file>