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source: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Information on measure ratification is sourced from our measure scraping script. Details in Measure_Collection.docx.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preparation: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Method: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We filtered down our measure database to rows where: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*) “Meeting_Type" == "ATCM"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*)  2024 &lt;= "ATCM_Year" &gt;= 1995)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*) "Type" == "Measure"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*) "Approvals" does not contain the substring “Fast Approval"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*) “Approvals” != “”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This, in effect, filtered down to all non-Annex V measures from 1995 to 2024.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Where measures have not been put into effect, we either: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1) Searched for a year substring in the measures status, and used that as the “cutoff_year”.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Or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2) Set “cutoff_year” = 2024.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each measure, we extracted the ratification delay for each country whos ratification was required. This was indicated by the presence of a * next to their name in the approval list.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ratification delay was defined as “Approval_Year” – “ATCM_Year”.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 countries ratification delay score was then the average of their ratification delays, where a smaller score is better.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A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69</TotalTime>
  <Application>LibreOffice/25.2.7.2$Linux_X86_64 LibreOffice_project/520$Build-2</Application>
  <AppVersion>15.0000</AppVersion>
  <Pages>1</Pages>
  <Words>160</Words>
  <Characters>850</Characters>
  <CharactersWithSpaces>994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2026-04-30T18:01:01Z</dcterms:created>
  <dc:creator/>
  <dc:description/>
  <dc:language>en-AU</dc:language>
  <cp:lastModifiedBy/>
  <dcterms:modified xsi:type="dcterms:W3CDTF">2026-06-16T15:37:02Z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