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42"/>
          <w:szCs w:val="42"/>
        </w:rPr>
      </w:pPr>
      <w:r>
        <w:rPr>
          <w:b/>
          <w:bCs/>
          <w:sz w:val="42"/>
          <w:szCs w:val="42"/>
        </w:rPr>
        <w:t>Data source:</w:t>
      </w:r>
    </w:p>
    <w:p>
      <w:pPr>
        <w:pStyle w:val="Normal"/>
        <w:bidi w:val="0"/>
        <w:jc w:val="start"/>
        <w:rPr>
          <w:b w:val="false"/>
          <w:bCs w:val="false"/>
          <w:sz w:val="30"/>
          <w:szCs w:val="30"/>
        </w:rPr>
      </w:pPr>
      <w:r>
        <w:rPr>
          <w:b w:val="false"/>
          <w:bCs w:val="false"/>
          <w:sz w:val="30"/>
          <w:szCs w:val="30"/>
        </w:rPr>
        <w:t>All Working Paper and Information Paper authorship figures were collected using Antartctic Database Go (</w:t>
      </w:r>
      <w:hyperlink r:id="rId2">
        <w:r>
          <w:rPr>
            <w:rStyle w:val="Hyperlink"/>
            <w:b w:val="false"/>
            <w:bCs w:val="false"/>
            <w:sz w:val="30"/>
            <w:szCs w:val="30"/>
          </w:rPr>
          <w:t>https://github.com/carlohamalainen/antarctic-database-go</w:t>
        </w:r>
      </w:hyperlink>
      <w:r>
        <w:rPr>
          <w:b w:val="false"/>
          <w:bCs w:val="false"/>
          <w:sz w:val="30"/>
          <w:szCs w:val="30"/>
        </w:rPr>
        <w:t>). Antarctic Database Go, in turn, scrapes these figures from ats.aq (the official website of the Secretariat of the Antarctic Treaty).</w:t>
      </w:r>
    </w:p>
    <w:p>
      <w:pPr>
        <w:pStyle w:val="Normal"/>
        <w:bidi w:val="0"/>
        <w:jc w:val="start"/>
        <w:rPr>
          <w:b w:val="false"/>
          <w:bCs w:val="false"/>
          <w:sz w:val="30"/>
          <w:szCs w:val="30"/>
        </w:rPr>
      </w:pPr>
      <w:r>
        <w:rPr>
          <w:b w:val="false"/>
          <w:bCs w:val="false"/>
          <w:sz w:val="30"/>
          <w:szCs w:val="30"/>
        </w:rPr>
      </w:r>
    </w:p>
    <w:p>
      <w:pPr>
        <w:pStyle w:val="Normal"/>
        <w:bidi w:val="0"/>
        <w:jc w:val="start"/>
        <w:rPr>
          <w:b/>
          <w:bCs/>
          <w:sz w:val="42"/>
          <w:szCs w:val="42"/>
        </w:rPr>
      </w:pPr>
      <w:r>
        <w:rPr>
          <w:b/>
          <w:bCs/>
          <w:sz w:val="42"/>
          <w:szCs w:val="42"/>
        </w:rPr>
        <w:t>Data preparation:</w:t>
      </w:r>
    </w:p>
    <w:p>
      <w:pPr>
        <w:pStyle w:val="Normal"/>
        <w:bidi w:val="0"/>
        <w:jc w:val="start"/>
        <w:rPr>
          <w:b w:val="false"/>
          <w:bCs w:val="false"/>
          <w:sz w:val="30"/>
          <w:szCs w:val="30"/>
        </w:rPr>
      </w:pPr>
      <w:r>
        <w:rPr>
          <w:b w:val="false"/>
          <w:bCs w:val="false"/>
          <w:sz w:val="30"/>
          <w:szCs w:val="30"/>
        </w:rPr>
        <w:t>Antarctic Database Go persists all relevant data in a file named “document_summary.parquet”.</w:t>
      </w:r>
    </w:p>
    <w:p>
      <w:pPr>
        <w:pStyle w:val="Normal"/>
        <w:bidi w:val="0"/>
        <w:jc w:val="start"/>
        <w:rPr>
          <w:b w:val="false"/>
          <w:bCs w:val="false"/>
          <w:sz w:val="30"/>
          <w:szCs w:val="30"/>
        </w:rPr>
      </w:pPr>
      <w:r>
        <w:rPr>
          <w:b w:val="false"/>
          <w:bCs w:val="false"/>
          <w:sz w:val="30"/>
          <w:szCs w:val="30"/>
        </w:rPr>
      </w:r>
    </w:p>
    <w:p>
      <w:pPr>
        <w:pStyle w:val="Normal"/>
        <w:bidi w:val="0"/>
        <w:jc w:val="start"/>
        <w:rPr>
          <w:b/>
          <w:bCs/>
          <w:sz w:val="42"/>
          <w:szCs w:val="42"/>
        </w:rPr>
      </w:pPr>
      <w:r>
        <w:rPr>
          <w:b/>
          <w:bCs/>
          <w:sz w:val="42"/>
          <w:szCs w:val="42"/>
        </w:rPr>
        <w:t>Method:</w:t>
      </w:r>
    </w:p>
    <w:p>
      <w:pPr>
        <w:pStyle w:val="Normal"/>
        <w:bidi w:val="0"/>
        <w:jc w:val="start"/>
        <w:rPr>
          <w:b w:val="false"/>
          <w:bCs w:val="false"/>
          <w:sz w:val="30"/>
          <w:szCs w:val="30"/>
        </w:rPr>
      </w:pPr>
      <w:r>
        <w:rPr>
          <w:b w:val="false"/>
          <w:bCs w:val="false"/>
          <w:sz w:val="30"/>
          <w:szCs w:val="30"/>
        </w:rPr>
        <w:t>Since to accurately measure Topic Introduction, we need all relevant Working Papers, we only filtered document_summary.parquet down to all rows with “party_type” == “wp”.</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Each Working Paper was then embedded into a 4096 dimensional vector space by Qwen3-Embedding-8B. Where a working paper was larger than the context window size limit of Qwen3-Embedding-8B, it was split into chunks (chosen to be approximately equal in length, and as large as possible) each of which was treated as an independent document.</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Over this vector space, we clustered documents using Berttopic with default settings bar min_topic_size=5.​ These clusters (minus the “outlier cluster” -1) were taken to be our topics.</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The set of topic introducing documents was then the set of documents which were the earliest to be published in their topic. This determination was made by comparing year, then wp number.</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A countries topic introduction score was then the sum of 1/len(document[“parties”]), for each topic introducing document they were a co-author of.</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3"/>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A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AU"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carlohamalainen/antarctic-database-go"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70</TotalTime>
  <Application>LibreOffice/25.2.7.2$Linux_X86_64 LibreOffice_project/520$Build-2</Application>
  <AppVersion>15.0000</AppVersion>
  <Pages>1</Pages>
  <Words>196</Words>
  <Characters>1174</Characters>
  <CharactersWithSpaces>1439</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2026-04-30T18:01:01Z</dcterms:created>
  <dc:creator/>
  <dc:description/>
  <dc:language>en-AU</dc:language>
  <cp:lastModifiedBy/>
  <dcterms:modified xsi:type="dcterms:W3CDTF">2026-06-16T15:52:55Z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