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  <w:sz w:val="42"/>
          <w:szCs w:val="42"/>
        </w:rPr>
      </w:pPr>
      <w:r>
        <w:rPr>
          <w:b/>
          <w:bCs/>
          <w:sz w:val="42"/>
          <w:szCs w:val="42"/>
        </w:rPr>
        <w:t>Data source: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All Working Paper and Information Paper authorship figures were collected using Antartctic Database Go (</w:t>
      </w:r>
      <w:hyperlink r:id="rId2">
        <w:r>
          <w:rPr>
            <w:rStyle w:val="Hyperlink"/>
            <w:b w:val="false"/>
            <w:bCs w:val="false"/>
            <w:sz w:val="30"/>
            <w:szCs w:val="30"/>
          </w:rPr>
          <w:t>https://github.com/carlohamalainen/antarctic-database-go</w:t>
        </w:r>
      </w:hyperlink>
      <w:r>
        <w:rPr>
          <w:b w:val="false"/>
          <w:bCs w:val="false"/>
          <w:sz w:val="30"/>
          <w:szCs w:val="30"/>
        </w:rPr>
        <w:t>). Antarctic Database Go, in turn, scrapes these figures from ats.aq (the official website of the Secretariat of the Antarctic Treaty).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/>
          <w:bCs/>
          <w:sz w:val="42"/>
          <w:szCs w:val="42"/>
        </w:rPr>
      </w:pPr>
      <w:r>
        <w:rPr>
          <w:b/>
          <w:bCs/>
          <w:sz w:val="42"/>
          <w:szCs w:val="42"/>
        </w:rPr>
        <w:t>Data preparation: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Antarctic Database Go persists all relevant data in a file named “document_summary.parquet”.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/>
          <w:bCs/>
          <w:sz w:val="42"/>
          <w:szCs w:val="42"/>
        </w:rPr>
      </w:pPr>
      <w:r>
        <w:rPr>
          <w:b/>
          <w:bCs/>
          <w:sz w:val="42"/>
          <w:szCs w:val="42"/>
        </w:rPr>
        <w:t>Method: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We filtered document_summary.parquet down to rows where “meeting_type” == “ATCM” (corresponding to ATCM meetings, as opposed to SATCMs), “party_type” == “wp” and 2000 &lt;= “meeting_year” &lt;= 2024.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The column “parties” contains an array about which parties contributed to a document. Some party arrays contained a ‘|’ separated string listing multiple parties, where this was present, we removed this element, stripped out the individual parties, and added them back into the initial array. E.g. [“Australia”, “Canada | Belgium”] =&gt; [“Australia”, “Canada”, “Belgium”].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Each party pair was given a collaboration score equal to the number of Working Papers they coauthored together.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Calling the highest collaboration score max_score, we then scaled every collaboration score by 1/max_score. This ensures that the eigenvalues of the graph we’re going to construct are small enough for our centrality metric to be valid.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Using the pairwise collaboration scores, we construct a graph of collaborations. Every party was given a node in the graph, and each edge was given a weight equal to the party pairs collaboration score.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A given parties centrality score was then equal to its katz centrality with alpha=0.1.</w:t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</w:r>
    </w:p>
    <w:p>
      <w:pPr>
        <w:pStyle w:val="Normal"/>
        <w:bidi w:val="0"/>
        <w:jc w:val="start"/>
        <w:rPr>
          <w:b w:val="false"/>
          <w:bCs w:val="false"/>
          <w:sz w:val="30"/>
          <w:szCs w:val="30"/>
        </w:rPr>
      </w:pPr>
      <w:r>
        <w:rPr>
          <w:b w:val="false"/>
          <w:bCs w:val="false"/>
          <w:sz w:val="30"/>
          <w:szCs w:val="30"/>
        </w:rPr>
        <w:t>A given parties diversity was equal to the number of edges attached to its node with non-zero weight.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83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A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AU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carlohamalainen/antarctic-database-go" TargetMode="Externa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59</TotalTime>
  <Application>LibreOffice/25.2.7.2$Linux_X86_64 LibreOffice_project/520$Build-2</Application>
  <AppVersion>15.0000</AppVersion>
  <Pages>1</Pages>
  <Words>248</Words>
  <Characters>1444</Characters>
  <CharactersWithSpaces>1681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2026-04-30T18:01:01Z</dcterms:created>
  <dc:creator/>
  <dc:description/>
  <dc:language>en-AU</dc:language>
  <cp:lastModifiedBy/>
  <dcterms:modified xsi:type="dcterms:W3CDTF">2026-07-20T11:01:39Z</dcterms:modified>
  <cp:revision>41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