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6EE" w:rsidRDefault="003407D8">
      <w:pPr>
        <w:pStyle w:val="LO-normal"/>
        <w:keepNext/>
        <w:keepLines/>
        <w:rPr>
          <w:rFonts w:ascii="Source Sans Pro" w:eastAsia="Source Sans Pro" w:hAnsi="Source Sans Pro" w:cs="Source Sans Pro"/>
          <w:b/>
          <w:color w:val="FFFFFF"/>
          <w:sz w:val="96"/>
          <w:szCs w:val="96"/>
        </w:rPr>
      </w:pPr>
      <w:bookmarkStart w:id="0" w:name="_6p9e43leqsip"/>
      <w:bookmarkStart w:id="1" w:name="_2cxwo03z1nom"/>
      <w:bookmarkEnd w:id="0"/>
      <w:bookmarkEnd w:id="1"/>
      <w:r>
        <w:rPr>
          <w:rFonts w:ascii="Source Sans Pro" w:eastAsia="Source Sans Pro" w:hAnsi="Source Sans Pro" w:cs="Source Sans Pro"/>
          <w:b/>
          <w:noProof/>
          <w:color w:val="FFFFFF"/>
          <w:sz w:val="96"/>
          <w:szCs w:val="96"/>
        </w:rPr>
        <w:drawing>
          <wp:inline distT="0" distB="0" distL="0" distR="0">
            <wp:extent cx="3788672" cy="1844044"/>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e Chancery Lane Project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8672" cy="1844044"/>
                    </a:xfrm>
                    <a:prstGeom prst="rect">
                      <a:avLst/>
                    </a:prstGeom>
                  </pic:spPr>
                </pic:pic>
              </a:graphicData>
            </a:graphic>
          </wp:inline>
        </w:drawing>
      </w:r>
    </w:p>
    <w:p w:rsidR="003407D8" w:rsidRPr="0045552D" w:rsidRDefault="003407D8" w:rsidP="006F01B1">
      <w:pPr>
        <w:pStyle w:val="Heading1"/>
      </w:pPr>
      <w:r w:rsidRPr="0045552D">
        <w:t>Downloaded Clauses</w:t>
      </w:r>
    </w:p>
    <w:p w:rsidR="002956EE" w:rsidRPr="00EF4906" w:rsidRDefault="003407D8" w:rsidP="006F01B1">
      <w:pPr>
        <w:pStyle w:val="Heading2"/>
        <w:sectPr w:rsidR="002956EE" w:rsidRPr="00EF4906">
          <w:footerReference w:type="default" r:id="rId9"/>
          <w:pgSz w:w="11906" w:h="16838"/>
          <w:pgMar w:top="2692" w:right="1440" w:bottom="1440" w:left="1440" w:header="720" w:footer="720" w:gutter="0"/>
          <w:pgNumType w:start="1"/>
          <w:cols w:space="720"/>
          <w:formProt w:val="0"/>
          <w:docGrid w:linePitch="100" w:charSpace="16384"/>
        </w:sectPr>
      </w:pPr>
      <w:proofErr w:type="gramStart"/>
      <w:r w:rsidRPr="0045552D">
        <w:t xml:space="preserve">{{ </w:t>
      </w:r>
      <w:proofErr w:type="spellStart"/>
      <w:r w:rsidRPr="0045552D">
        <w:t>today</w:t>
      </w:r>
      <w:proofErr w:type="gramEnd"/>
      <w:r w:rsidRPr="0045552D">
        <w:t>_date</w:t>
      </w:r>
      <w:proofErr w:type="spellEnd"/>
      <w:r w:rsidRPr="0045552D">
        <w:t xml:space="preserve"> }}</w:t>
      </w:r>
    </w:p>
    <w:p w:rsidR="00A85393" w:rsidRDefault="00A85393" w:rsidP="00A85393">
      <w:pPr>
        <w:pStyle w:val="Heading1"/>
      </w:pPr>
      <w:bookmarkStart w:id="2" w:name="_4a2ei5vywoeo"/>
      <w:bookmarkEnd w:id="2"/>
      <w:r>
        <w:lastRenderedPageBreak/>
        <w:t>How to use this document</w:t>
      </w:r>
    </w:p>
    <w:p w:rsidR="00A85393" w:rsidRPr="00A85393" w:rsidRDefault="00A85393" w:rsidP="00A85393">
      <w:pPr>
        <w:rPr>
          <w:sz w:val="24"/>
          <w:szCs w:val="24"/>
        </w:rPr>
      </w:pPr>
      <w:r w:rsidRPr="00A85393">
        <w:rPr>
          <w:sz w:val="24"/>
          <w:szCs w:val="24"/>
        </w:rPr>
        <w:t xml:space="preserve">Since this document might contain many clauses, you should consider using the </w:t>
      </w:r>
      <w:r w:rsidRPr="00A85393">
        <w:rPr>
          <w:b/>
          <w:sz w:val="24"/>
          <w:szCs w:val="24"/>
        </w:rPr>
        <w:t>navigation pane</w:t>
      </w:r>
      <w:r w:rsidRPr="00A85393">
        <w:rPr>
          <w:sz w:val="24"/>
          <w:szCs w:val="24"/>
        </w:rPr>
        <w:t xml:space="preserve">. In Word 2019, you can do this by opening the </w:t>
      </w:r>
      <w:r w:rsidRPr="00A85393">
        <w:rPr>
          <w:b/>
          <w:sz w:val="24"/>
          <w:szCs w:val="24"/>
        </w:rPr>
        <w:t>“View” tab of the ribbon</w:t>
      </w:r>
      <w:r w:rsidRPr="00A85393">
        <w:rPr>
          <w:sz w:val="24"/>
          <w:szCs w:val="24"/>
        </w:rPr>
        <w:t xml:space="preserve">, and checking the </w:t>
      </w:r>
      <w:r w:rsidRPr="00A85393">
        <w:rPr>
          <w:b/>
          <w:sz w:val="24"/>
          <w:szCs w:val="24"/>
        </w:rPr>
        <w:t>“Navigation Pane” checkbox</w:t>
      </w:r>
      <w:r w:rsidRPr="00A85393">
        <w:rPr>
          <w:sz w:val="24"/>
          <w:szCs w:val="24"/>
        </w:rPr>
        <w:t>. In LibreOffice, you can press F5 or go to View &gt; Navigator to see the equivalent feature.</w:t>
      </w:r>
    </w:p>
    <w:p w:rsidR="00A85393" w:rsidRDefault="00A85393" w:rsidP="00A85393">
      <w:pPr>
        <w:rPr>
          <w:sz w:val="24"/>
          <w:szCs w:val="24"/>
        </w:rPr>
      </w:pPr>
      <w:r w:rsidRPr="00A85393">
        <w:rPr>
          <w:sz w:val="24"/>
          <w:szCs w:val="24"/>
        </w:rPr>
        <w:t xml:space="preserve">You can find </w:t>
      </w:r>
      <w:r w:rsidR="00A1311C">
        <w:rPr>
          <w:sz w:val="24"/>
          <w:szCs w:val="24"/>
        </w:rPr>
        <w:t>lists</w:t>
      </w:r>
      <w:r w:rsidRPr="00A85393">
        <w:rPr>
          <w:sz w:val="24"/>
          <w:szCs w:val="24"/>
        </w:rPr>
        <w:t xml:space="preserve"> of the documents based on the tags that you searched by at the </w:t>
      </w:r>
      <w:r w:rsidR="00A1311C">
        <w:rPr>
          <w:sz w:val="24"/>
          <w:szCs w:val="24"/>
        </w:rPr>
        <w:t>beginning</w:t>
      </w:r>
      <w:r w:rsidRPr="00A85393">
        <w:rPr>
          <w:sz w:val="24"/>
          <w:szCs w:val="24"/>
        </w:rPr>
        <w:t xml:space="preserve"> of the document.</w:t>
      </w:r>
    </w:p>
    <w:p w:rsidR="00A85393" w:rsidRDefault="00A85393" w:rsidP="00A85393">
      <w:pPr>
        <w:rPr>
          <w:sz w:val="24"/>
          <w:szCs w:val="24"/>
        </w:rPr>
      </w:pPr>
    </w:p>
    <w:p w:rsidR="00A85393" w:rsidRPr="00A85393" w:rsidRDefault="00A85393" w:rsidP="00A85393">
      <w:pPr>
        <w:rPr>
          <w:sz w:val="24"/>
          <w:szCs w:val="24"/>
        </w:rPr>
      </w:pPr>
    </w:p>
    <w:p w:rsidR="00A85393" w:rsidRPr="00A85393" w:rsidRDefault="00A85393" w:rsidP="00A85393">
      <w:pPr>
        <w:pStyle w:val="Heading2"/>
        <w:rPr>
          <w:sz w:val="24"/>
          <w:szCs w:val="24"/>
          <w:lang w:eastAsia="en-US" w:bidi="ar-SA"/>
        </w:rPr>
      </w:pPr>
      <w:r w:rsidRPr="00A85393">
        <w:rPr>
          <w:lang w:eastAsia="en-US" w:bidi="ar-SA"/>
        </w:rPr>
        <w:t xml:space="preserve">Overview of this </w:t>
      </w:r>
      <w:proofErr w:type="spellStart"/>
      <w:r w:rsidRPr="00A85393">
        <w:rPr>
          <w:lang w:eastAsia="en-US" w:bidi="ar-SA"/>
        </w:rPr>
        <w:t>personalised</w:t>
      </w:r>
      <w:proofErr w:type="spellEnd"/>
      <w:r w:rsidRPr="00A85393">
        <w:rPr>
          <w:lang w:eastAsia="en-US" w:bidi="ar-SA"/>
        </w:rPr>
        <w:t xml:space="preserve"> selection of climate clauses</w:t>
      </w:r>
    </w:p>
    <w:p w:rsidR="00A85393" w:rsidRPr="00A85393" w:rsidRDefault="00A85393" w:rsidP="00A85393">
      <w:pPr>
        <w:rPr>
          <w:rFonts w:ascii="Times New Roman" w:hAnsi="Times New Roman" w:cs="Times New Roman"/>
          <w:sz w:val="24"/>
          <w:szCs w:val="24"/>
          <w:lang w:eastAsia="en-US" w:bidi="ar-SA"/>
        </w:rPr>
      </w:pPr>
      <w:r w:rsidRPr="00A85393">
        <w:rPr>
          <w:lang w:eastAsia="en-US" w:bidi="ar-SA"/>
        </w:rPr>
        <w:t xml:space="preserve">This </w:t>
      </w:r>
      <w:proofErr w:type="spellStart"/>
      <w:r w:rsidRPr="00A85393">
        <w:rPr>
          <w:lang w:eastAsia="en-US" w:bidi="ar-SA"/>
        </w:rPr>
        <w:t>personalised</w:t>
      </w:r>
      <w:proofErr w:type="spellEnd"/>
      <w:r w:rsidRPr="00A85393">
        <w:rPr>
          <w:lang w:eastAsia="en-US" w:bidi="ar-SA"/>
        </w:rPr>
        <w:t xml:space="preserve"> selection of climate clause has been generated based on the practice areas, sectors and climate solutions that you selected using TCLP’s climate clause picker. It provides you with an initial selection of clauses relevant to the agreement that you are working on.</w:t>
      </w:r>
    </w:p>
    <w:p w:rsidR="00A85393" w:rsidRPr="00A85393" w:rsidRDefault="00A85393" w:rsidP="00A85393">
      <w:pPr>
        <w:rPr>
          <w:rFonts w:ascii="Times New Roman" w:hAnsi="Times New Roman" w:cs="Times New Roman"/>
          <w:sz w:val="24"/>
          <w:szCs w:val="24"/>
          <w:lang w:eastAsia="en-US" w:bidi="ar-SA"/>
        </w:rPr>
      </w:pPr>
      <w:r w:rsidRPr="00A85393">
        <w:rPr>
          <w:lang w:eastAsia="en-US" w:bidi="ar-SA"/>
        </w:rPr>
        <w:t>You can quickly cut and paste the most useful clause, or sections from the clauses, into your agreement and then tailor them to the specific needs of your transaction. Each clause is introduced with an overview, followed by the clause text.</w:t>
      </w:r>
    </w:p>
    <w:p w:rsidR="00A85393" w:rsidRPr="00A85393" w:rsidRDefault="00A85393" w:rsidP="00A85393">
      <w:pPr>
        <w:rPr>
          <w:rFonts w:ascii="Times New Roman" w:hAnsi="Times New Roman" w:cs="Times New Roman"/>
          <w:sz w:val="24"/>
          <w:szCs w:val="24"/>
          <w:lang w:eastAsia="en-US" w:bidi="ar-SA"/>
        </w:rPr>
      </w:pPr>
      <w:r w:rsidRPr="00A85393">
        <w:rPr>
          <w:lang w:eastAsia="en-US" w:bidi="ar-SA"/>
        </w:rPr>
        <w:t>To help you make drafting decisions such as the level of climate ambition your agreement should include and whether and how to make use of carbon offsets, you may find it helpful to refer to TCLP's other resources such as our net zero explainer, net zero drafting checklist, net zero drafting definitions and our note on carbon offsetting (all available in our</w:t>
      </w:r>
      <w:hyperlink r:id="rId10" w:history="1">
        <w:r w:rsidRPr="00A85393">
          <w:rPr>
            <w:u w:val="single"/>
            <w:lang w:eastAsia="en-US" w:bidi="ar-SA"/>
          </w:rPr>
          <w:t xml:space="preserve"> </w:t>
        </w:r>
        <w:r w:rsidRPr="00A85393">
          <w:rPr>
            <w:color w:val="0000FF"/>
            <w:u w:val="single"/>
            <w:lang w:eastAsia="en-US" w:bidi="ar-SA"/>
          </w:rPr>
          <w:t>net zero implementation tools</w:t>
        </w:r>
      </w:hyperlink>
      <w:r w:rsidRPr="00A85393">
        <w:rPr>
          <w:lang w:eastAsia="en-US" w:bidi="ar-SA"/>
        </w:rPr>
        <w:t>).  For further climate definitions, see our</w:t>
      </w:r>
      <w:hyperlink r:id="rId11" w:history="1">
        <w:r w:rsidRPr="00A85393">
          <w:rPr>
            <w:u w:val="single"/>
            <w:lang w:eastAsia="en-US" w:bidi="ar-SA"/>
          </w:rPr>
          <w:t xml:space="preserve"> </w:t>
        </w:r>
        <w:r w:rsidRPr="00A85393">
          <w:rPr>
            <w:color w:val="0000FF"/>
            <w:u w:val="single"/>
            <w:lang w:eastAsia="en-US" w:bidi="ar-SA"/>
          </w:rPr>
          <w:t>Glossary</w:t>
        </w:r>
      </w:hyperlink>
      <w:r w:rsidRPr="00A85393">
        <w:rPr>
          <w:lang w:eastAsia="en-US" w:bidi="ar-SA"/>
        </w:rPr>
        <w:t>.</w:t>
      </w:r>
    </w:p>
    <w:p w:rsidR="00A85393" w:rsidRPr="00A85393" w:rsidRDefault="00A85393" w:rsidP="00A85393">
      <w:pPr>
        <w:rPr>
          <w:rFonts w:ascii="Times New Roman" w:hAnsi="Times New Roman" w:cs="Times New Roman"/>
          <w:sz w:val="24"/>
          <w:szCs w:val="24"/>
          <w:lang w:eastAsia="en-US" w:bidi="ar-SA"/>
        </w:rPr>
      </w:pPr>
      <w:r w:rsidRPr="00A85393">
        <w:rPr>
          <w:lang w:eastAsia="en-US" w:bidi="ar-SA"/>
        </w:rPr>
        <w:t xml:space="preserve">The climate clause picker has been launched in beta. To help us improve this tool and develop it further, we would be grateful for your feedback. Please contact </w:t>
      </w:r>
      <w:hyperlink r:id="rId12" w:history="1">
        <w:proofErr w:type="spellStart"/>
        <w:r w:rsidRPr="00A85393">
          <w:rPr>
            <w:color w:val="1155CC"/>
            <w:u w:val="single"/>
            <w:lang w:eastAsia="en-US" w:bidi="ar-SA"/>
          </w:rPr>
          <w:t>Humzah</w:t>
        </w:r>
        <w:proofErr w:type="spellEnd"/>
        <w:r w:rsidRPr="00A85393">
          <w:rPr>
            <w:color w:val="1155CC"/>
            <w:u w:val="single"/>
            <w:lang w:eastAsia="en-US" w:bidi="ar-SA"/>
          </w:rPr>
          <w:t xml:space="preserve"> at TCLP</w:t>
        </w:r>
      </w:hyperlink>
      <w:r w:rsidRPr="00A85393">
        <w:rPr>
          <w:lang w:eastAsia="en-US" w:bidi="ar-SA"/>
        </w:rPr>
        <w:t xml:space="preserve"> to provide feedback and suggestions for improvements.</w:t>
      </w:r>
    </w:p>
    <w:p w:rsidR="00A85393" w:rsidRDefault="00A85393" w:rsidP="00A85393">
      <w:pPr>
        <w:rPr>
          <w:lang w:eastAsia="en-US" w:bidi="ar-SA"/>
        </w:rPr>
      </w:pPr>
      <w:r w:rsidRPr="00A85393">
        <w:rPr>
          <w:lang w:eastAsia="en-US" w:bidi="ar-SA"/>
        </w:rPr>
        <w:t>You can find an appendix of the documents based on the tags that you searched by at the end of the document.</w:t>
      </w:r>
    </w:p>
    <w:p w:rsidR="00A85393" w:rsidRPr="00A85393" w:rsidRDefault="00A85393" w:rsidP="00A1311C">
      <w:pPr>
        <w:spacing w:after="0"/>
        <w:jc w:val="left"/>
        <w:rPr>
          <w:lang w:eastAsia="en-US" w:bidi="ar-SA"/>
        </w:rPr>
      </w:pPr>
      <w:r>
        <w:rPr>
          <w:lang w:eastAsia="en-US" w:bidi="ar-SA"/>
        </w:rPr>
        <w:br w:type="page"/>
      </w:r>
      <w:bookmarkStart w:id="3" w:name="_GoBack"/>
      <w:bookmarkEnd w:id="3"/>
    </w:p>
    <w:p w:rsidR="002956EE" w:rsidRDefault="001F3506" w:rsidP="009979E3">
      <w:pPr>
        <w:pStyle w:val="Heading2"/>
        <w:rPr>
          <w:color w:val="FFFFFF"/>
          <w:sz w:val="96"/>
          <w:szCs w:val="96"/>
        </w:rPr>
      </w:pPr>
      <w:r>
        <w:lastRenderedPageBreak/>
        <w:t>Disclaimer</w:t>
      </w:r>
    </w:p>
    <w:p w:rsidR="00A85393" w:rsidRDefault="00A85393" w:rsidP="00A85393">
      <w:r>
        <w:t>The clauses in this document (and published in our website) have been prepared in good faith on a pro bono basis and are free to download and use. The clauses have been drafted and edited by a variety of lawyers and, as such, the approaches to drafting may not conform to any particular drafting norms. We acknowledge this as a consequence of the collaborative drafting process.</w:t>
      </w:r>
    </w:p>
    <w:p w:rsidR="00A85393" w:rsidRDefault="00A85393" w:rsidP="00A85393">
      <w:r>
        <w:t>These clauses are provided on an ‘as is’ basis and without any representation or warranty as to accuracy or that the clauses will achieve the relevant climate goal or any other outcome.</w:t>
      </w:r>
    </w:p>
    <w:p w:rsidR="00A85393" w:rsidRDefault="00A85393" w:rsidP="00A85393">
      <w:r>
        <w:t>This document does not comprise, constitute or provide personal, specific or individual recommendations or advice of any kind, and does not contain legal or financial advice. The clauses are precedents for legal professionals to use, amend and negotiate using their professional skill and judgement and at their own risk.</w:t>
      </w:r>
    </w:p>
    <w:p w:rsidR="00A85393" w:rsidRDefault="00A85393" w:rsidP="00A85393">
      <w:r>
        <w:t>While care has been taken in the drafting of these clauses, neither The Chancery Lane Project nor any of its contributors owe a duty of care to any party in relation to their preparation and do not accept any liability for any errors or omissions, nor for any loss incurred by any person relying on or using these clauses or any other person. Users should use their own professional judgement in the application of these clauses to any particular circumstance or jurisdiction or seek independent legal advice.</w:t>
      </w:r>
    </w:p>
    <w:p w:rsidR="00551DDA" w:rsidRDefault="00A85393">
      <w:pPr>
        <w:sectPr w:rsidR="00551DDA">
          <w:headerReference w:type="default" r:id="rId13"/>
          <w:footerReference w:type="default" r:id="rId14"/>
          <w:pgSz w:w="11906" w:h="16838"/>
          <w:pgMar w:top="1275" w:right="1440" w:bottom="1440" w:left="1440" w:header="720" w:footer="0" w:gutter="0"/>
          <w:cols w:space="720"/>
          <w:formProt w:val="0"/>
          <w:docGrid w:linePitch="100" w:charSpace="16384"/>
        </w:sectPr>
      </w:pPr>
      <w:r>
        <w:t>At present, all the clauses are based on the laws of England and Wales. We encourage the conversion of these precedent clauses for use in other jurisdictions</w:t>
      </w:r>
      <w:r w:rsidR="009979E3">
        <w:t>.</w:t>
      </w:r>
    </w:p>
    <w:p w:rsidR="00510CDA" w:rsidRPr="003407D8" w:rsidRDefault="00510CDA" w:rsidP="00510CDA">
      <w:pPr>
        <w:pStyle w:val="Heading1"/>
      </w:pPr>
      <w:r w:rsidRPr="003407D8">
        <w:lastRenderedPageBreak/>
        <w:t xml:space="preserve">Tag </w:t>
      </w:r>
      <w:r>
        <w:t>Lists</w:t>
      </w:r>
    </w:p>
    <w:p w:rsidR="00510CDA" w:rsidRDefault="00510CDA" w:rsidP="00510CDA">
      <w:r>
        <w:t>Below are lists of every document that is associated with the tags you searched.</w:t>
      </w:r>
    </w:p>
    <w:p w:rsidR="00510CDA" w:rsidRDefault="00510CDA" w:rsidP="00510CDA">
      <w:r>
        <w:t xml:space="preserve">{%p for tag in </w:t>
      </w:r>
      <w:proofErr w:type="spellStart"/>
      <w:r>
        <w:t>tags_with_rows</w:t>
      </w:r>
      <w:proofErr w:type="spellEnd"/>
      <w:r>
        <w:t xml:space="preserve"> %}</w:t>
      </w:r>
    </w:p>
    <w:p w:rsidR="00510CDA" w:rsidRDefault="00510CDA" w:rsidP="00510CDA">
      <w:proofErr w:type="gramStart"/>
      <w:r>
        <w:t>{{ tag</w:t>
      </w:r>
      <w:proofErr w:type="gramEnd"/>
      <w:r>
        <w:t xml:space="preserve"> }}:</w:t>
      </w:r>
    </w:p>
    <w:p w:rsidR="00510CDA" w:rsidRDefault="00510CDA" w:rsidP="00510CDA">
      <w:r>
        <w:t xml:space="preserve">{%p for doc in </w:t>
      </w:r>
      <w:proofErr w:type="spellStart"/>
      <w:r>
        <w:t>tags_with_rows</w:t>
      </w:r>
      <w:proofErr w:type="spellEnd"/>
      <w:r>
        <w:t>[tag] %}</w:t>
      </w:r>
    </w:p>
    <w:p w:rsidR="00510CDA" w:rsidRDefault="00510CDA" w:rsidP="00510CDA">
      <w:pPr>
        <w:pStyle w:val="ListParagraph"/>
        <w:numPr>
          <w:ilvl w:val="0"/>
          <w:numId w:val="1"/>
        </w:numPr>
      </w:pPr>
      <w:proofErr w:type="gramStart"/>
      <w:r>
        <w:t>{{ doc</w:t>
      </w:r>
      <w:proofErr w:type="gramEnd"/>
      <w:r>
        <w:t xml:space="preserve"> }}</w:t>
      </w:r>
    </w:p>
    <w:p w:rsidR="00510CDA" w:rsidRDefault="00510CDA" w:rsidP="00510CDA">
      <w:r>
        <w:t xml:space="preserve">{%p </w:t>
      </w:r>
      <w:proofErr w:type="spellStart"/>
      <w:r>
        <w:t>endfor</w:t>
      </w:r>
      <w:proofErr w:type="spellEnd"/>
      <w:r>
        <w:t xml:space="preserve"> %}</w:t>
      </w:r>
    </w:p>
    <w:p w:rsidR="00510CDA" w:rsidRDefault="00510CDA" w:rsidP="00510CDA">
      <w:r>
        <w:t xml:space="preserve">{%p </w:t>
      </w:r>
      <w:proofErr w:type="spellStart"/>
      <w:r>
        <w:t>endfor</w:t>
      </w:r>
      <w:proofErr w:type="spellEnd"/>
      <w:r>
        <w:t xml:space="preserve"> %}</w:t>
      </w:r>
    </w:p>
    <w:p w:rsidR="00510CDA" w:rsidRDefault="00510CDA"/>
    <w:p w:rsidR="002956EE" w:rsidRDefault="001F3506">
      <w:pPr>
        <w:rPr>
          <w:sz w:val="54"/>
          <w:szCs w:val="54"/>
        </w:rPr>
      </w:pPr>
      <w:r>
        <w:t xml:space="preserve">{%p for clause in </w:t>
      </w:r>
      <w:proofErr w:type="spellStart"/>
      <w:r>
        <w:t>mysubdoc</w:t>
      </w:r>
      <w:proofErr w:type="spellEnd"/>
      <w:r>
        <w:t xml:space="preserve"> %}</w:t>
      </w:r>
    </w:p>
    <w:p w:rsidR="002956EE" w:rsidRPr="002C1ACE" w:rsidRDefault="001F3506" w:rsidP="002C1ACE">
      <w:pPr>
        <w:pStyle w:val="Heading1"/>
        <w:rPr>
          <w:sz w:val="40"/>
          <w:szCs w:val="40"/>
        </w:rPr>
      </w:pPr>
      <w:bookmarkStart w:id="4" w:name="_Toc90128866"/>
      <w:bookmarkStart w:id="5" w:name="_Toc90128590"/>
      <w:proofErr w:type="gramStart"/>
      <w:r w:rsidRPr="002C1ACE">
        <w:rPr>
          <w:sz w:val="40"/>
          <w:szCs w:val="40"/>
        </w:rPr>
        <w:t>{{ clause</w:t>
      </w:r>
      <w:proofErr w:type="gramEnd"/>
      <w:r w:rsidRPr="002C1ACE">
        <w:rPr>
          <w:sz w:val="40"/>
          <w:szCs w:val="40"/>
        </w:rPr>
        <w:t>[0].name }}</w:t>
      </w:r>
      <w:bookmarkEnd w:id="4"/>
      <w:bookmarkEnd w:id="5"/>
    </w:p>
    <w:p w:rsidR="002956EE" w:rsidRDefault="001F3506">
      <w:pPr>
        <w:pStyle w:val="LO-normal"/>
      </w:pPr>
      <w:r>
        <w:t xml:space="preserve">{{r </w:t>
      </w:r>
      <w:proofErr w:type="gramStart"/>
      <w:r>
        <w:t>clause[</w:t>
      </w:r>
      <w:proofErr w:type="gramEnd"/>
      <w:r>
        <w:t>2] }}</w:t>
      </w:r>
    </w:p>
    <w:p w:rsidR="002956EE" w:rsidRDefault="001F3506">
      <w:r>
        <w:t>_____________________________________________________</w:t>
      </w:r>
    </w:p>
    <w:p w:rsidR="002956EE" w:rsidRDefault="001F3506">
      <w:r>
        <w:t xml:space="preserve">{{p </w:t>
      </w:r>
      <w:proofErr w:type="gramStart"/>
      <w:r>
        <w:t>clause[</w:t>
      </w:r>
      <w:proofErr w:type="gramEnd"/>
      <w:r>
        <w:t>3] }}</w:t>
      </w:r>
    </w:p>
    <w:p w:rsidR="002956EE" w:rsidRDefault="001F3506">
      <w:r>
        <w:t>_____________________________________________________</w:t>
      </w:r>
    </w:p>
    <w:p w:rsidR="002956EE" w:rsidRDefault="001F3506">
      <w:pPr>
        <w:rPr>
          <w:sz w:val="54"/>
          <w:szCs w:val="54"/>
        </w:rPr>
      </w:pPr>
      <w:bookmarkStart w:id="6" w:name="MainText"/>
      <w:r>
        <w:t xml:space="preserve">{%p </w:t>
      </w:r>
      <w:proofErr w:type="spellStart"/>
      <w:r>
        <w:t>endfor</w:t>
      </w:r>
      <w:proofErr w:type="spellEnd"/>
      <w:r>
        <w:t xml:space="preserve"> %}</w:t>
      </w:r>
      <w:bookmarkEnd w:id="6"/>
    </w:p>
    <w:p w:rsidR="00DA43F3" w:rsidRDefault="00DA43F3">
      <w:pPr>
        <w:rPr>
          <w:sz w:val="54"/>
          <w:szCs w:val="54"/>
        </w:rPr>
      </w:pPr>
    </w:p>
    <w:p w:rsidR="00510CDA" w:rsidRPr="009979E3" w:rsidRDefault="00510CDA" w:rsidP="00510CDA">
      <w:pPr>
        <w:rPr>
          <w:sz w:val="54"/>
          <w:szCs w:val="54"/>
        </w:rPr>
      </w:pPr>
      <w:r>
        <w:t xml:space="preserve">Retrieved and assembled at </w:t>
      </w:r>
      <w:proofErr w:type="gramStart"/>
      <w:r>
        <w:t xml:space="preserve">{{ </w:t>
      </w:r>
      <w:proofErr w:type="spellStart"/>
      <w:r>
        <w:t>today</w:t>
      </w:r>
      <w:proofErr w:type="gramEnd"/>
      <w:r>
        <w:t>_date</w:t>
      </w:r>
      <w:proofErr w:type="spellEnd"/>
      <w:r>
        <w:t xml:space="preserve"> }}</w:t>
      </w:r>
      <w:r>
        <w:t>.</w:t>
      </w:r>
    </w:p>
    <w:p w:rsidR="00510CDA" w:rsidRDefault="00510CDA" w:rsidP="00510CDA">
      <w:pPr>
        <w:pStyle w:val="LO-normal"/>
      </w:pPr>
    </w:p>
    <w:sectPr w:rsidR="00510CDA">
      <w:headerReference w:type="default" r:id="rId15"/>
      <w:footerReference w:type="default" r:id="rId16"/>
      <w:pgSz w:w="11906" w:h="16838"/>
      <w:pgMar w:top="1275" w:right="1440" w:bottom="1440" w:left="1440" w:header="720" w:footer="0" w:gutter="0"/>
      <w:cols w:space="720"/>
      <w:formProt w:val="0"/>
      <w:docGrid w:linePitch="10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153F" w:rsidRDefault="008D153F">
      <w:pPr>
        <w:spacing w:after="0"/>
      </w:pPr>
      <w:r>
        <w:separator/>
      </w:r>
    </w:p>
  </w:endnote>
  <w:endnote w:type="continuationSeparator" w:id="0">
    <w:p w:rsidR="008D153F" w:rsidRDefault="008D15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Light">
    <w:altName w:val="Source Sans Pro Light"/>
    <w:charset w:val="00"/>
    <w:family w:val="swiss"/>
    <w:pitch w:val="variable"/>
    <w:sig w:usb0="600002F7" w:usb1="02000001" w:usb2="00000000" w:usb3="00000000" w:csb0="0000019F" w:csb1="00000000"/>
  </w:font>
  <w:font w:name="Source Sans Pro">
    <w:altName w:val="Source Sans Pro"/>
    <w:charset w:val="00"/>
    <w:family w:val="swiss"/>
    <w:pitch w:val="variable"/>
    <w:sig w:usb0="600002F7" w:usb1="02000001" w:usb2="00000000" w:usb3="00000000" w:csb0="0000019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153F" w:rsidRDefault="008D153F">
      <w:pPr>
        <w:spacing w:after="0"/>
      </w:pPr>
      <w:r>
        <w:separator/>
      </w:r>
    </w:p>
  </w:footnote>
  <w:footnote w:type="continuationSeparator" w:id="0">
    <w:p w:rsidR="008D153F" w:rsidRDefault="008D153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2956EE">
    <w:pPr>
      <w:pStyle w:val="LO-normal"/>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2956EE">
    <w:pPr>
      <w:pStyle w:val="LO-norma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71E09"/>
    <w:multiLevelType w:val="hybridMultilevel"/>
    <w:tmpl w:val="DDFCA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6EE"/>
    <w:rsid w:val="00084DCE"/>
    <w:rsid w:val="001C5C89"/>
    <w:rsid w:val="001F3506"/>
    <w:rsid w:val="002956EE"/>
    <w:rsid w:val="002C1ACE"/>
    <w:rsid w:val="003407D8"/>
    <w:rsid w:val="00406C59"/>
    <w:rsid w:val="0045552D"/>
    <w:rsid w:val="00510CDA"/>
    <w:rsid w:val="00551DDA"/>
    <w:rsid w:val="006F01B1"/>
    <w:rsid w:val="006F26B4"/>
    <w:rsid w:val="0088722F"/>
    <w:rsid w:val="008D153F"/>
    <w:rsid w:val="009979E3"/>
    <w:rsid w:val="009D5268"/>
    <w:rsid w:val="00A1311C"/>
    <w:rsid w:val="00A85393"/>
    <w:rsid w:val="00C469D6"/>
    <w:rsid w:val="00D738DA"/>
    <w:rsid w:val="00D76A79"/>
    <w:rsid w:val="00DA43F3"/>
    <w:rsid w:val="00EF4906"/>
    <w:rsid w:val="00F105E4"/>
    <w:rsid w:val="00F3655F"/>
    <w:rsid w:val="00F665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4AA9C"/>
  <w15:docId w15:val="{AA845FC6-8FAE-4907-BC12-F815BEBF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Light" w:eastAsia="Source Sans Pro Light" w:hAnsi="Source Sans Pro Light" w:cs="Source Sans Pro Light"/>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0"/>
      <w:jc w:val="both"/>
    </w:pPr>
  </w:style>
  <w:style w:type="paragraph" w:styleId="Heading1">
    <w:name w:val="heading 1"/>
    <w:basedOn w:val="Header"/>
    <w:next w:val="BodyText"/>
    <w:uiPriority w:val="9"/>
    <w:qFormat/>
    <w:pPr>
      <w:keepNext/>
      <w:keepLines/>
      <w:outlineLvl w:val="0"/>
    </w:pPr>
    <w:rPr>
      <w:rFonts w:ascii="Source Sans Pro" w:eastAsia="Source Sans Pro" w:hAnsi="Source Sans Pro" w:cs="Source Sans Pro"/>
      <w:b/>
      <w:sz w:val="54"/>
      <w:szCs w:val="54"/>
    </w:rPr>
  </w:style>
  <w:style w:type="paragraph" w:styleId="Heading2">
    <w:name w:val="heading 2"/>
    <w:basedOn w:val="Heading"/>
    <w:next w:val="BodyText"/>
    <w:uiPriority w:val="9"/>
    <w:unhideWhenUsed/>
    <w:qFormat/>
    <w:rsid w:val="009979E3"/>
    <w:pPr>
      <w:keepLines/>
      <w:outlineLvl w:val="1"/>
    </w:pPr>
    <w:rPr>
      <w:rFonts w:ascii="Source Sans Pro" w:eastAsia="Source Sans Pro" w:hAnsi="Source Sans Pro" w:cs="Source Sans Pro"/>
      <w:b/>
      <w:szCs w:val="22"/>
    </w:rPr>
  </w:style>
  <w:style w:type="paragraph" w:styleId="Heading3">
    <w:name w:val="heading 3"/>
    <w:basedOn w:val="LO-normal"/>
    <w:next w:val="LO-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outlineLvl w:val="4"/>
    </w:pPr>
    <w:rPr>
      <w:color w:val="666666"/>
      <w:sz w:val="22"/>
      <w:szCs w:val="22"/>
    </w:rPr>
  </w:style>
  <w:style w:type="paragraph" w:styleId="Heading6">
    <w:name w:val="heading 6"/>
    <w:basedOn w:val="LO-normal"/>
    <w:next w:val="LO-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styleId="Hyperlink">
    <w:name w:val="Hyperlink"/>
    <w:basedOn w:val="DefaultParagraphFont"/>
    <w:uiPriority w:val="99"/>
    <w:unhideWhenUsed/>
    <w:rsid w:val="00027143"/>
    <w:rPr>
      <w:color w:val="0000FF"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240"/>
      <w:jc w:val="both"/>
    </w:pPr>
  </w:style>
  <w:style w:type="paragraph" w:styleId="Title">
    <w:name w:val="Title"/>
    <w:basedOn w:val="LO-normal"/>
    <w:next w:val="LO-normal"/>
    <w:uiPriority w:val="10"/>
    <w:qFormat/>
    <w:pPr>
      <w:keepNext/>
      <w:keepLines/>
    </w:pPr>
    <w:rPr>
      <w:rFonts w:ascii="Source Sans Pro" w:eastAsia="Source Sans Pro" w:hAnsi="Source Sans Pro" w:cs="Source Sans Pro"/>
      <w:b/>
      <w:color w:val="FFFFFF"/>
      <w:sz w:val="120"/>
      <w:szCs w:val="120"/>
    </w:rPr>
  </w:style>
  <w:style w:type="paragraph" w:styleId="Subtitle">
    <w:name w:val="Subtitle"/>
    <w:basedOn w:val="LO-normal"/>
    <w:next w:val="LO-normal"/>
    <w:uiPriority w:val="11"/>
    <w:qFormat/>
    <w:pPr>
      <w:keepNext/>
      <w:keepLines/>
      <w:spacing w:after="320"/>
    </w:pPr>
    <w:rPr>
      <w:rFonts w:ascii="Arial" w:eastAsia="Arial" w:hAnsi="Arial" w:cs="Arial"/>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FootnoteText">
    <w:name w:val="footnote text"/>
    <w:basedOn w:val="Normal"/>
  </w:style>
  <w:style w:type="paragraph" w:styleId="TOCHeading">
    <w:name w:val="TOC Heading"/>
    <w:basedOn w:val="Heading1"/>
    <w:next w:val="Normal"/>
    <w:uiPriority w:val="39"/>
    <w:unhideWhenUsed/>
    <w:qFormat/>
    <w:rsid w:val="00027143"/>
    <w:pPr>
      <w:suppressAutoHyphens w:val="0"/>
      <w:spacing w:before="240" w:after="0" w:line="259" w:lineRule="auto"/>
      <w:jc w:val="left"/>
    </w:pPr>
    <w:rPr>
      <w:rFonts w:asciiTheme="majorHAnsi" w:eastAsiaTheme="majorEastAsia" w:hAnsiTheme="majorHAnsi" w:cstheme="majorBidi"/>
      <w:b w:val="0"/>
      <w:color w:val="365F91" w:themeColor="accent1" w:themeShade="BF"/>
      <w:sz w:val="32"/>
      <w:szCs w:val="32"/>
      <w:lang w:eastAsia="en-US" w:bidi="ar-SA"/>
    </w:rPr>
  </w:style>
  <w:style w:type="paragraph" w:styleId="TOC1">
    <w:name w:val="toc 1"/>
    <w:basedOn w:val="Normal"/>
    <w:next w:val="Normal"/>
    <w:autoRedefine/>
    <w:uiPriority w:val="39"/>
    <w:unhideWhenUsed/>
    <w:rsid w:val="00027143"/>
    <w:pPr>
      <w:spacing w:after="100"/>
    </w:pPr>
    <w:rPr>
      <w:rFonts w:cs="Mangal"/>
      <w:szCs w:val="18"/>
    </w:rPr>
  </w:style>
  <w:style w:type="paragraph" w:styleId="TOC2">
    <w:name w:val="toc 2"/>
    <w:basedOn w:val="Normal"/>
    <w:next w:val="Normal"/>
    <w:autoRedefine/>
    <w:uiPriority w:val="39"/>
    <w:unhideWhenUsed/>
    <w:rsid w:val="00905087"/>
    <w:pPr>
      <w:spacing w:after="100"/>
      <w:ind w:left="200"/>
    </w:pPr>
    <w:rPr>
      <w:rFonts w:cs="Mangal"/>
      <w:szCs w:val="18"/>
    </w:rPr>
  </w:style>
  <w:style w:type="paragraph" w:styleId="ListParagraph">
    <w:name w:val="List Paragraph"/>
    <w:basedOn w:val="Normal"/>
    <w:uiPriority w:val="34"/>
    <w:qFormat/>
    <w:rsid w:val="00DA43F3"/>
    <w:pPr>
      <w:ind w:left="720"/>
      <w:contextualSpacing/>
    </w:pPr>
    <w:rPr>
      <w:rFonts w:cs="Mangal"/>
      <w:szCs w:val="18"/>
    </w:rPr>
  </w:style>
  <w:style w:type="paragraph" w:styleId="NormalWeb">
    <w:name w:val="Normal (Web)"/>
    <w:basedOn w:val="Normal"/>
    <w:uiPriority w:val="99"/>
    <w:semiHidden/>
    <w:unhideWhenUsed/>
    <w:rsid w:val="00A85393"/>
    <w:pPr>
      <w:suppressAutoHyphens w:val="0"/>
      <w:spacing w:before="100" w:beforeAutospacing="1" w:after="100" w:afterAutospacing="1"/>
      <w:jc w:val="left"/>
    </w:pPr>
    <w:rPr>
      <w:rFonts w:ascii="Times New Roman" w:eastAsia="Times New Roman" w:hAnsi="Times New Roman" w:cs="Times New Roman"/>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28215">
      <w:bodyDiv w:val="1"/>
      <w:marLeft w:val="0"/>
      <w:marRight w:val="0"/>
      <w:marTop w:val="0"/>
      <w:marBottom w:val="0"/>
      <w:divBdr>
        <w:top w:val="none" w:sz="0" w:space="0" w:color="auto"/>
        <w:left w:val="none" w:sz="0" w:space="0" w:color="auto"/>
        <w:bottom w:val="none" w:sz="0" w:space="0" w:color="auto"/>
        <w:right w:val="none" w:sz="0" w:space="0" w:color="auto"/>
      </w:divBdr>
    </w:div>
    <w:div w:id="1088423130">
      <w:bodyDiv w:val="1"/>
      <w:marLeft w:val="0"/>
      <w:marRight w:val="0"/>
      <w:marTop w:val="0"/>
      <w:marBottom w:val="0"/>
      <w:divBdr>
        <w:top w:val="none" w:sz="0" w:space="0" w:color="auto"/>
        <w:left w:val="none" w:sz="0" w:space="0" w:color="auto"/>
        <w:bottom w:val="none" w:sz="0" w:space="0" w:color="auto"/>
        <w:right w:val="none" w:sz="0" w:space="0" w:color="auto"/>
      </w:divBdr>
    </w:div>
    <w:div w:id="1156846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umzah@chancerylaneproject.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ncerylaneproject.org/glossary/"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chancerylaneproject.org/toolkit/net-zero-implementation-too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28941-A8C3-40BE-8003-AF8ACC113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4</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Bryce Willey</cp:lastModifiedBy>
  <cp:revision>56</cp:revision>
  <dcterms:created xsi:type="dcterms:W3CDTF">2021-12-11T18:15:00Z</dcterms:created>
  <dcterms:modified xsi:type="dcterms:W3CDTF">2022-03-02T17:48:00Z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