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kxrri47jt5yc" w:id="0"/>
      <w:bookmarkEnd w:id="0"/>
      <w:r w:rsidDel="00000000" w:rsidR="00000000" w:rsidRPr="00000000">
        <w:rPr>
          <w:rtl w:val="0"/>
        </w:rPr>
        <w:t xml:space="preserve">Low Fidelity Prototype Report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Heading3"/>
        <w:rPr/>
      </w:pPr>
      <w:bookmarkStart w:colFirst="0" w:colLast="0" w:name="_krpd6sbyzbp3" w:id="1"/>
      <w:bookmarkEnd w:id="1"/>
      <w:r w:rsidDel="00000000" w:rsidR="00000000" w:rsidRPr="00000000">
        <w:rPr>
          <w:rtl w:val="0"/>
        </w:rPr>
        <w:t xml:space="preserve">Prototype Relationship:</w:t>
      </w:r>
    </w:p>
    <w:p w:rsidR="00000000" w:rsidDel="00000000" w:rsidP="00000000" w:rsidRDefault="00000000" w:rsidRPr="00000000" w14:paraId="00000004">
      <w:pPr>
        <w:rPr/>
      </w:pPr>
      <w:r w:rsidDel="00000000" w:rsidR="00000000" w:rsidRPr="00000000">
        <w:rPr>
          <w:rtl w:val="0"/>
        </w:rPr>
        <w:tab/>
        <w:t xml:space="preserve">The icons in alish-designPrototype in the mobile prototype can be related to the logical constraint of natural mapping Since the icons will be placed next to the signifier in web design but only icons in mobile design. The navbar will have a signifier along with Metaphorical icons for navigating to a certain page. In the Login form or any forms in this website, the errors discoverability is easy and the feedback error cycle will also help users eliminate the error.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Shane_IABC_Wireframe_Desktop_Good.pdf uses natural mapping by implementing a traditional style of web page design with a navigation bar across the top followed by a multicolumn separated page. People are already trained to navigate such a site, a disadvantage is that it does not translate well into a mobile site. The brand logo in the header provides an affordance for the user to find the home page from wherever they are on the site. A slight application of gestalts is the menu bar simply being underlined by a narrow line rather than enclosed in a box, although the navigation links aren't explicitly closed in together the user understands they are a related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Bryden_IABC_wireframe uses an arrow within a circle to signify a link to another webpage. Natural mapping is used in the 4 dots within the event section slides. Each dot represents an event slide and the darkened dot signifies the current slide that the user is on. Affordances are found in the arrows as they will direct the user to the linked web page and within the 4 dots as they shift the current slide to the slide mapped to that dot.</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