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2lzbw0xibgpn" w:id="0"/>
      <w:bookmarkEnd w:id="0"/>
      <w:r w:rsidDel="00000000" w:rsidR="00000000" w:rsidRPr="00000000">
        <w:rPr>
          <w:b w:val="1"/>
          <w:color w:val="000000"/>
          <w:sz w:val="22"/>
          <w:szCs w:val="22"/>
          <w:rtl w:val="0"/>
        </w:rPr>
        <w:t xml:space="preserve">What I Learned</w:t>
      </w:r>
    </w:p>
    <w:p w:rsidR="00000000" w:rsidDel="00000000" w:rsidP="00000000" w:rsidRDefault="00000000" w:rsidRPr="00000000" w14:paraId="00000002">
      <w:pPr>
        <w:spacing w:after="240" w:before="240" w:lineRule="auto"/>
        <w:rPr/>
      </w:pPr>
      <w:r w:rsidDel="00000000" w:rsidR="00000000" w:rsidRPr="00000000">
        <w:rPr>
          <w:rtl w:val="0"/>
        </w:rPr>
        <w:t xml:space="preserve">This week, I learned how software licenses shape collaboration, legal risk, and obligations in different ways. The MIT License is extremely permissive it allows use, modification, distribution, and even commercial reuse with minimal conditions. The main obligations are attribution and including the license text. However, it offers no patent protection, which can leave users vulnerable.</w:t>
      </w:r>
    </w:p>
    <w:p w:rsidR="00000000" w:rsidDel="00000000" w:rsidP="00000000" w:rsidRDefault="00000000" w:rsidRPr="00000000" w14:paraId="00000003">
      <w:pPr>
        <w:spacing w:after="240" w:before="240" w:lineRule="auto"/>
        <w:rPr/>
      </w:pPr>
      <w:r w:rsidDel="00000000" w:rsidR="00000000" w:rsidRPr="00000000">
        <w:rPr>
          <w:rtl w:val="0"/>
        </w:rPr>
        <w:t xml:space="preserve">The Apache 2.0 License also allows permissive reuse but adds stronger conditions, such as preserving the NOTICE file and providing an explicit patent grant. This makes it more suited for corporate environments where patent concerns matter. In contrast, the GPLv3 is a strong copyleft license: if you distribute a derivative of GPL code, you must also release your entire work under GPL and share the source. This preserves openness but is incompatible with proprietary goals.</w:t>
      </w:r>
    </w:p>
    <w:p w:rsidR="00000000" w:rsidDel="00000000" w:rsidP="00000000" w:rsidRDefault="00000000" w:rsidRPr="00000000" w14:paraId="00000004">
      <w:pPr>
        <w:spacing w:after="240" w:before="240" w:lineRule="auto"/>
        <w:rPr/>
      </w:pPr>
      <w:r w:rsidDel="00000000" w:rsidR="00000000" w:rsidRPr="00000000">
        <w:rPr>
          <w:rtl w:val="0"/>
        </w:rPr>
        <w:t xml:space="preserve">These differences connect directly to the week’s reading in the eBook and the Open Source Initiative guidelines. The OSI emphasizes how licensing enables or restricts reuse, and it’s clear that license choice is both a legal and ethical decision, especially if redistribution or third-party collaboration is involved.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2"/>
          <w:szCs w:val="22"/>
        </w:rPr>
      </w:pPr>
      <w:bookmarkStart w:colFirst="0" w:colLast="0" w:name="_nrgcqfbcrv1g" w:id="1"/>
      <w:bookmarkEnd w:id="1"/>
      <w:r w:rsidDel="00000000" w:rsidR="00000000" w:rsidRPr="00000000">
        <w:rPr>
          <w:b w:val="1"/>
          <w:color w:val="000000"/>
          <w:sz w:val="22"/>
          <w:szCs w:val="22"/>
          <w:rtl w:val="0"/>
        </w:rPr>
        <w:t xml:space="preserve">How I’ll Apply It</w:t>
      </w:r>
    </w:p>
    <w:p w:rsidR="00000000" w:rsidDel="00000000" w:rsidP="00000000" w:rsidRDefault="00000000" w:rsidRPr="00000000" w14:paraId="00000007">
      <w:pPr>
        <w:spacing w:after="240" w:before="240" w:lineRule="auto"/>
        <w:rPr/>
      </w:pPr>
      <w:r w:rsidDel="00000000" w:rsidR="00000000" w:rsidRPr="00000000">
        <w:rPr>
          <w:rtl w:val="0"/>
        </w:rPr>
        <w:t xml:space="preserve">For a small internal DevOps script I’m writing to automate deployment tasks, I would choose the MIT License. Here’s why:</w:t>
      </w:r>
    </w:p>
    <w:p w:rsidR="00000000" w:rsidDel="00000000" w:rsidP="00000000" w:rsidRDefault="00000000" w:rsidRPr="00000000" w14:paraId="00000008">
      <w:pPr>
        <w:numPr>
          <w:ilvl w:val="0"/>
          <w:numId w:val="1"/>
        </w:numPr>
        <w:spacing w:after="0" w:afterAutospacing="0" w:before="240" w:lineRule="auto"/>
        <w:ind w:left="720" w:hanging="360"/>
        <w:rPr/>
      </w:pPr>
      <w:r w:rsidDel="00000000" w:rsidR="00000000" w:rsidRPr="00000000">
        <w:rPr>
          <w:rtl w:val="0"/>
        </w:rPr>
        <w:t xml:space="preserve">The script is for internal use only, so no planned distribution would trigger licensing obligations.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The tool is straightforward and unlikely to involve patentable innovations, making patent protection unnecessary.</w:t>
        <w:br w:type="textWrapping"/>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MIT allows easy reuse and modification by team members without worrying about license compatibility or formal attribution beyond the basic notice.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If the tool ever needed to be distributed externally, I would revisit the decision and consider Apache 2.0.</w:t>
      </w:r>
    </w:p>
    <w:p w:rsidR="00000000" w:rsidDel="00000000" w:rsidP="00000000" w:rsidRDefault="00000000" w:rsidRPr="00000000" w14:paraId="0000000C">
      <w:pPr>
        <w:pStyle w:val="Heading3"/>
        <w:keepNext w:val="0"/>
        <w:keepLines w:val="0"/>
        <w:spacing w:before="280" w:lineRule="auto"/>
        <w:rPr>
          <w:b w:val="1"/>
          <w:color w:val="000000"/>
          <w:sz w:val="22"/>
          <w:szCs w:val="22"/>
        </w:rPr>
      </w:pPr>
      <w:bookmarkStart w:colFirst="0" w:colLast="0" w:name="_4q4f1vfu6ri5" w:id="2"/>
      <w:bookmarkEnd w:id="2"/>
      <w:r w:rsidDel="00000000" w:rsidR="00000000" w:rsidRPr="00000000">
        <w:rPr>
          <w:b w:val="1"/>
          <w:color w:val="000000"/>
          <w:sz w:val="22"/>
          <w:szCs w:val="22"/>
          <w:rtl w:val="0"/>
        </w:rPr>
        <w:t xml:space="preserve">Muddiest Point</w:t>
      </w:r>
    </w:p>
    <w:p w:rsidR="00000000" w:rsidDel="00000000" w:rsidP="00000000" w:rsidRDefault="00000000" w:rsidRPr="00000000" w14:paraId="0000000D">
      <w:pPr>
        <w:spacing w:after="240" w:before="240" w:lineRule="auto"/>
        <w:rPr/>
      </w:pPr>
      <w:r w:rsidDel="00000000" w:rsidR="00000000" w:rsidRPr="00000000">
        <w:rPr>
          <w:rtl w:val="0"/>
        </w:rPr>
        <w:t xml:space="preserve">One point I’m still uncertain about is what exactly counts as a "derivative work" under the GPL when linking libraries. For example, if I dynamically link to a GPLv3 library, does that trigger the copyleft requirement for the entire application? Some sources suggest dynamic linking avoids the derivative rule, while others argue that linking of any kind can still require the entire work to be released under GPL if it’s distributed. Is there a legal or technical standard that defines this boundary clearly?</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jvcd7k7g4px1" w:id="3"/>
      <w:bookmarkEnd w:id="3"/>
      <w:r w:rsidDel="00000000" w:rsidR="00000000" w:rsidRPr="00000000">
        <w:rPr>
          <w:b w:val="1"/>
          <w:color w:val="000000"/>
          <w:sz w:val="22"/>
          <w:szCs w:val="22"/>
          <w:rtl w:val="0"/>
        </w:rPr>
        <w:t xml:space="preserve">Portfolio Note</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rtl w:val="0"/>
        </w:rPr>
        <w:t xml:space="preserve">I plan to publish a Safe Initial Vulnerability Report template as part of my course portfolio.</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rtl w:val="0"/>
        </w:rPr>
        <w:t xml:space="preserve">It demonstrates my understanding of Coordinated Vulnerability Disclosure (CVD) best practices.</w:t>
        <w:br w:type="textWrapping"/>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rtl w:val="0"/>
        </w:rPr>
        <w:t xml:space="preserve">It also highlights my ability to balance technical accuracy with ethical and legal considerations in reporting software flaws.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