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C702E" w14:textId="5C1B1CBF" w:rsidR="00463C4F" w:rsidRPr="00A92636" w:rsidRDefault="005037AF" w:rsidP="00463C4F">
      <w:pPr>
        <w:rPr>
          <w:rFonts w:ascii="Times" w:hAnsi="Times"/>
          <w:b/>
        </w:rPr>
      </w:pPr>
      <w:bookmarkStart w:id="0" w:name="_GoBack"/>
      <w:bookmarkEnd w:id="0"/>
      <w:r>
        <w:rPr>
          <w:rFonts w:ascii="Times" w:hAnsi="Times"/>
          <w:b/>
        </w:rPr>
        <w:t xml:space="preserve">Teaching for Diversity </w:t>
      </w:r>
      <w:r w:rsidR="00463C4F" w:rsidRPr="00A92636">
        <w:rPr>
          <w:rFonts w:ascii="Times" w:hAnsi="Times"/>
          <w:b/>
        </w:rPr>
        <w:t>and Equity: Scholarship and Practice</w:t>
      </w:r>
    </w:p>
    <w:p w14:paraId="78685153" w14:textId="77777777" w:rsidR="00463C4F" w:rsidRPr="00A92636" w:rsidRDefault="00463C4F" w:rsidP="00463C4F">
      <w:pPr>
        <w:rPr>
          <w:rFonts w:ascii="Times" w:hAnsi="Times"/>
        </w:rPr>
      </w:pPr>
    </w:p>
    <w:p w14:paraId="0E403AA7" w14:textId="6F565D7B" w:rsidR="0065243C" w:rsidRPr="00A92636" w:rsidRDefault="00463C4F">
      <w:pPr>
        <w:rPr>
          <w:rFonts w:ascii="Times" w:hAnsi="Times"/>
        </w:rPr>
      </w:pPr>
      <w:r>
        <w:rPr>
          <w:rFonts w:ascii="Times" w:hAnsi="Times"/>
        </w:rPr>
        <w:t>Proposal for:</w:t>
      </w:r>
    </w:p>
    <w:p w14:paraId="6483BBDA" w14:textId="77777777" w:rsidR="00463C4F" w:rsidRPr="00463C4F" w:rsidRDefault="00463C4F" w:rsidP="00463C4F">
      <w:pPr>
        <w:rPr>
          <w:rFonts w:ascii="Times" w:eastAsia="Times New Roman" w:hAnsi="Times" w:cs="Times New Roman"/>
          <w:sz w:val="20"/>
          <w:szCs w:val="20"/>
        </w:rPr>
      </w:pPr>
      <w:r w:rsidRPr="00463C4F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</w:rPr>
        <w:t>Diversity, Learning, and Student Success</w:t>
      </w:r>
      <w:r w:rsidRPr="00463C4F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</w:rPr>
        <w:br/>
        <w:t>Shifting Paradigms and Challenging Mindsets </w:t>
      </w:r>
      <w:r w:rsidRPr="00463C4F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</w:rPr>
        <w:br/>
        <w:t>March 17-19, 2016</w:t>
      </w:r>
      <w:r w:rsidRPr="00463C4F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</w:rPr>
        <w:br/>
        <w:t>Philadelphia, Pennsylvania</w:t>
      </w:r>
    </w:p>
    <w:p w14:paraId="5116D00A" w14:textId="77777777" w:rsidR="005B62E4" w:rsidRPr="00A92636" w:rsidRDefault="005B62E4">
      <w:pPr>
        <w:rPr>
          <w:rFonts w:ascii="Times" w:hAnsi="Times"/>
        </w:rPr>
      </w:pPr>
    </w:p>
    <w:p w14:paraId="7337F263" w14:textId="77777777" w:rsidR="005B62E4" w:rsidRPr="00A92636" w:rsidRDefault="005B62E4">
      <w:pPr>
        <w:rPr>
          <w:rFonts w:ascii="Times" w:hAnsi="Times"/>
        </w:rPr>
      </w:pPr>
    </w:p>
    <w:p w14:paraId="445AA93D" w14:textId="77777777" w:rsidR="005B62E4" w:rsidRPr="00A613B3" w:rsidRDefault="005B62E4">
      <w:pPr>
        <w:rPr>
          <w:rFonts w:ascii="Times" w:hAnsi="Times"/>
          <w:b/>
        </w:rPr>
      </w:pPr>
      <w:r w:rsidRPr="00A613B3">
        <w:rPr>
          <w:rFonts w:ascii="Times" w:hAnsi="Times"/>
          <w:b/>
        </w:rPr>
        <w:t>Learning outcomes</w:t>
      </w:r>
    </w:p>
    <w:p w14:paraId="651B6AF1" w14:textId="77777777" w:rsidR="005B62E4" w:rsidRDefault="005B62E4">
      <w:pPr>
        <w:rPr>
          <w:rFonts w:ascii="Times" w:hAnsi="Times"/>
        </w:rPr>
      </w:pPr>
    </w:p>
    <w:p w14:paraId="03E98B04" w14:textId="77777777" w:rsidR="00EB429D" w:rsidRDefault="00EB429D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Participants will:</w:t>
      </w:r>
    </w:p>
    <w:p w14:paraId="6901D149" w14:textId="1991A7D7" w:rsidR="00A613B3" w:rsidRPr="00EB429D" w:rsidRDefault="003C55E6" w:rsidP="00EB429D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Understand</w:t>
      </w:r>
      <w:r w:rsidR="00A613B3" w:rsidRPr="00EB429D">
        <w:rPr>
          <w:rFonts w:ascii="Times" w:eastAsia="Times New Roman" w:hAnsi="Times" w:cs="Times New Roman"/>
          <w:color w:val="000000"/>
          <w:shd w:val="clear" w:color="auto" w:fill="FFFFFF"/>
        </w:rPr>
        <w:t xml:space="preserve"> their current practice</w:t>
      </w:r>
      <w:r w:rsidR="0095639E">
        <w:rPr>
          <w:rFonts w:ascii="Times" w:eastAsia="Times New Roman" w:hAnsi="Times" w:cs="Times New Roman"/>
          <w:color w:val="000000"/>
          <w:shd w:val="clear" w:color="auto" w:fill="FFFFFF"/>
        </w:rPr>
        <w:t>s</w:t>
      </w:r>
      <w:r w:rsidR="00A613B3" w:rsidRPr="00EB429D">
        <w:rPr>
          <w:rFonts w:ascii="Times" w:eastAsia="Times New Roman" w:hAnsi="Times" w:cs="Times New Roman"/>
          <w:color w:val="000000"/>
          <w:shd w:val="clear" w:color="auto" w:fill="FFFFFF"/>
        </w:rPr>
        <w:t xml:space="preserve"> </w:t>
      </w:r>
      <w:r w:rsidR="0095639E">
        <w:rPr>
          <w:rFonts w:ascii="Times" w:eastAsia="Times New Roman" w:hAnsi="Times" w:cs="Times New Roman"/>
          <w:color w:val="000000"/>
          <w:shd w:val="clear" w:color="auto" w:fill="FFFFFF"/>
        </w:rPr>
        <w:t>as they relate</w:t>
      </w:r>
      <w:r w:rsidR="00A613B3" w:rsidRPr="00EB429D">
        <w:rPr>
          <w:rFonts w:ascii="Times" w:eastAsia="Times New Roman" w:hAnsi="Times" w:cs="Times New Roman"/>
          <w:color w:val="000000"/>
          <w:shd w:val="clear" w:color="auto" w:fill="FFFFFF"/>
        </w:rPr>
        <w:t xml:space="preserve"> to inclusivi</w:t>
      </w:r>
      <w:r w:rsidR="0095639E">
        <w:rPr>
          <w:rFonts w:ascii="Times" w:eastAsia="Times New Roman" w:hAnsi="Times" w:cs="Times New Roman"/>
          <w:color w:val="000000"/>
          <w:shd w:val="clear" w:color="auto" w:fill="FFFFFF"/>
        </w:rPr>
        <w:t>ty and equity</w:t>
      </w:r>
    </w:p>
    <w:p w14:paraId="62C3B27A" w14:textId="5461A1C0" w:rsidR="00EB429D" w:rsidRDefault="003C55E6" w:rsidP="00EB429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Gain knowledge</w:t>
      </w:r>
      <w:r w:rsidR="005B62E4" w:rsidRPr="00EB429D">
        <w:rPr>
          <w:rFonts w:ascii="Times" w:eastAsia="Times New Roman" w:hAnsi="Times" w:cs="Times New Roman"/>
          <w:color w:val="000000"/>
          <w:shd w:val="clear" w:color="auto" w:fill="FFFFFF"/>
        </w:rPr>
        <w:t xml:space="preserve"> about the scholarship and emerging practices relating to diversity and equity in the classroom </w:t>
      </w:r>
    </w:p>
    <w:p w14:paraId="1519F54F" w14:textId="06F43B36" w:rsidR="00EB429D" w:rsidRDefault="003C55E6" w:rsidP="00EB429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P</w:t>
      </w:r>
      <w:r w:rsidR="00A613B3" w:rsidRPr="00EB429D">
        <w:rPr>
          <w:rFonts w:ascii="Times" w:eastAsia="Times New Roman" w:hAnsi="Times" w:cs="Times New Roman"/>
          <w:color w:val="000000"/>
          <w:shd w:val="clear" w:color="auto" w:fill="FFFFFF"/>
        </w:rPr>
        <w:t>ractice the analysis application of strategies through discussion of</w:t>
      </w:r>
      <w:r w:rsidR="005B62E4" w:rsidRPr="00EB429D">
        <w:rPr>
          <w:rFonts w:ascii="Times" w:eastAsia="Times New Roman" w:hAnsi="Times" w:cs="Times New Roman"/>
          <w:color w:val="000000"/>
          <w:shd w:val="clear" w:color="auto" w:fill="FFFFFF"/>
        </w:rPr>
        <w:t xml:space="preserve"> </w:t>
      </w:r>
      <w:r w:rsidR="00A613B3" w:rsidRPr="00EB429D">
        <w:rPr>
          <w:rFonts w:ascii="Times" w:eastAsia="Times New Roman" w:hAnsi="Times" w:cs="Times New Roman"/>
          <w:color w:val="000000"/>
          <w:shd w:val="clear" w:color="auto" w:fill="FFFFFF"/>
        </w:rPr>
        <w:t>several faculty-student scenarios</w:t>
      </w:r>
    </w:p>
    <w:p w14:paraId="67E27AF6" w14:textId="50013D90" w:rsidR="005B62E4" w:rsidRPr="00EB429D" w:rsidRDefault="00BF2BAA" w:rsidP="00EB429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 xml:space="preserve">Apply what they have learned to </w:t>
      </w:r>
      <w:r w:rsidR="005B62E4" w:rsidRPr="00EB429D">
        <w:rPr>
          <w:rFonts w:ascii="Times" w:eastAsia="Times New Roman" w:hAnsi="Times" w:cs="Times New Roman"/>
          <w:color w:val="000000"/>
          <w:shd w:val="clear" w:color="auto" w:fill="FFFFFF"/>
        </w:rPr>
        <w:t xml:space="preserve">develop a plan 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 xml:space="preserve">that </w:t>
      </w:r>
      <w:r w:rsidR="005B62E4" w:rsidRPr="00EB429D">
        <w:rPr>
          <w:rFonts w:ascii="Times" w:eastAsia="Times New Roman" w:hAnsi="Times" w:cs="Times New Roman"/>
          <w:color w:val="000000"/>
          <w:shd w:val="clear" w:color="auto" w:fill="FFFFFF"/>
        </w:rPr>
        <w:t>integrat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>es their</w:t>
      </w:r>
      <w:r w:rsidR="005B62E4" w:rsidRPr="00EB429D">
        <w:rPr>
          <w:rFonts w:ascii="Times" w:eastAsia="Times New Roman" w:hAnsi="Times" w:cs="Times New Roman"/>
          <w:color w:val="000000"/>
          <w:shd w:val="clear" w:color="auto" w:fill="FFFFFF"/>
        </w:rPr>
        <w:t xml:space="preserve"> insights into their own teaching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 xml:space="preserve"> and advising.</w:t>
      </w:r>
      <w:r w:rsidR="005B62E4" w:rsidRPr="00EB429D">
        <w:rPr>
          <w:rFonts w:ascii="Times" w:eastAsia="Times New Roman" w:hAnsi="Times" w:cs="Times New Roman"/>
          <w:color w:val="000000"/>
          <w:shd w:val="clear" w:color="auto" w:fill="FFFFFF"/>
        </w:rPr>
        <w:t> </w:t>
      </w:r>
      <w:r w:rsidR="005B62E4" w:rsidRPr="00EB429D">
        <w:rPr>
          <w:rFonts w:ascii="Times" w:eastAsia="Times New Roman" w:hAnsi="Times" w:cs="Times New Roman"/>
          <w:color w:val="000000"/>
        </w:rPr>
        <w:br/>
      </w:r>
    </w:p>
    <w:p w14:paraId="76942048" w14:textId="77777777" w:rsidR="005B62E4" w:rsidRPr="00A92636" w:rsidRDefault="005B62E4">
      <w:pPr>
        <w:rPr>
          <w:rFonts w:ascii="Times" w:hAnsi="Times"/>
        </w:rPr>
      </w:pPr>
    </w:p>
    <w:p w14:paraId="2BA76018" w14:textId="77777777" w:rsidR="005B62E4" w:rsidRPr="00A92636" w:rsidRDefault="005B62E4">
      <w:pPr>
        <w:rPr>
          <w:rFonts w:ascii="Times" w:hAnsi="Times"/>
          <w:b/>
        </w:rPr>
      </w:pPr>
      <w:r w:rsidRPr="00A92636">
        <w:rPr>
          <w:rFonts w:ascii="Times" w:hAnsi="Times"/>
          <w:b/>
        </w:rPr>
        <w:t>Intended audience</w:t>
      </w:r>
    </w:p>
    <w:p w14:paraId="67A5CFC4" w14:textId="77777777" w:rsidR="00AB1A26" w:rsidRDefault="00AB1A26">
      <w:pPr>
        <w:rPr>
          <w:rFonts w:ascii="Times" w:hAnsi="Times"/>
        </w:rPr>
      </w:pPr>
    </w:p>
    <w:p w14:paraId="4F1E4EF6" w14:textId="687522DC" w:rsidR="005B62E4" w:rsidRPr="00A92636" w:rsidRDefault="00BE570A">
      <w:pPr>
        <w:rPr>
          <w:rFonts w:ascii="Times" w:hAnsi="Times"/>
        </w:rPr>
      </w:pPr>
      <w:r>
        <w:rPr>
          <w:rFonts w:ascii="Times" w:hAnsi="Times"/>
        </w:rPr>
        <w:t>The intended audience is f</w:t>
      </w:r>
      <w:r w:rsidR="00CC1D97" w:rsidRPr="00A92636">
        <w:rPr>
          <w:rFonts w:ascii="Times" w:hAnsi="Times"/>
        </w:rPr>
        <w:t>aculty members and those in administrative leadership</w:t>
      </w:r>
      <w:r w:rsidR="001D2C97" w:rsidRPr="00A92636">
        <w:rPr>
          <w:rFonts w:ascii="Times" w:hAnsi="Times"/>
        </w:rPr>
        <w:t xml:space="preserve"> roles,</w:t>
      </w:r>
      <w:r w:rsidR="00CC1D97" w:rsidRPr="00A92636">
        <w:rPr>
          <w:rFonts w:ascii="Times" w:hAnsi="Times"/>
        </w:rPr>
        <w:t xml:space="preserve"> (Deans, Provosts, Associate and Assistant Deans and Provosts) whose res</w:t>
      </w:r>
      <w:r>
        <w:rPr>
          <w:rFonts w:ascii="Times" w:hAnsi="Times"/>
        </w:rPr>
        <w:t xml:space="preserve">ponsibilities include providing </w:t>
      </w:r>
      <w:r w:rsidR="00CC1D97" w:rsidRPr="00A92636">
        <w:rPr>
          <w:rFonts w:ascii="Times" w:hAnsi="Times"/>
        </w:rPr>
        <w:t>faculty development opportunities.</w:t>
      </w:r>
    </w:p>
    <w:p w14:paraId="58C80FD4" w14:textId="77777777" w:rsidR="00CC1D97" w:rsidRPr="00A92636" w:rsidRDefault="00CC1D97">
      <w:pPr>
        <w:rPr>
          <w:rFonts w:ascii="Times" w:hAnsi="Times"/>
        </w:rPr>
      </w:pPr>
    </w:p>
    <w:p w14:paraId="0E141767" w14:textId="77777777" w:rsidR="005B62E4" w:rsidRPr="00A92636" w:rsidRDefault="005B62E4">
      <w:pPr>
        <w:rPr>
          <w:rFonts w:ascii="Times" w:hAnsi="Times"/>
          <w:b/>
        </w:rPr>
      </w:pPr>
      <w:r w:rsidRPr="00A92636">
        <w:rPr>
          <w:rFonts w:ascii="Times" w:hAnsi="Times"/>
          <w:b/>
        </w:rPr>
        <w:t>Background evidence of effectiveness of work</w:t>
      </w:r>
    </w:p>
    <w:p w14:paraId="33D286A9" w14:textId="77777777" w:rsidR="005B62E4" w:rsidRPr="00A92636" w:rsidRDefault="005B62E4">
      <w:pPr>
        <w:rPr>
          <w:rFonts w:ascii="Times" w:hAnsi="Times"/>
        </w:rPr>
      </w:pPr>
    </w:p>
    <w:p w14:paraId="2E84DCBC" w14:textId="77777777" w:rsidR="00CC1D97" w:rsidRPr="00A92636" w:rsidRDefault="00CC1D97">
      <w:pPr>
        <w:rPr>
          <w:rFonts w:ascii="Times" w:hAnsi="Times"/>
        </w:rPr>
      </w:pPr>
      <w:r w:rsidRPr="00A92636">
        <w:rPr>
          <w:rFonts w:ascii="Times" w:hAnsi="Times"/>
        </w:rPr>
        <w:t>The workshop has been designed based on findings described in the literature.  In particular, we’ve incorporated results described in the following:</w:t>
      </w:r>
    </w:p>
    <w:p w14:paraId="3A14DBE2" w14:textId="77777777" w:rsidR="00CC1D97" w:rsidRPr="00A92636" w:rsidRDefault="00CC1D97">
      <w:pPr>
        <w:rPr>
          <w:rFonts w:ascii="Times" w:hAnsi="Times"/>
        </w:rPr>
      </w:pPr>
    </w:p>
    <w:p w14:paraId="4D4440CC" w14:textId="57D6EAD4" w:rsidR="005B62E4" w:rsidRPr="00A92636" w:rsidRDefault="005B62E4" w:rsidP="005B62E4">
      <w:pPr>
        <w:ind w:firstLine="720"/>
        <w:rPr>
          <w:rFonts w:ascii="Times" w:hAnsi="Times"/>
          <w:i/>
          <w:iCs/>
        </w:rPr>
      </w:pPr>
      <w:r w:rsidRPr="00A92636">
        <w:rPr>
          <w:rFonts w:ascii="Times" w:hAnsi="Times"/>
        </w:rPr>
        <w:t xml:space="preserve">Claude M. Steele. </w:t>
      </w:r>
      <w:r w:rsidR="0098592D">
        <w:rPr>
          <w:rFonts w:ascii="Times" w:hAnsi="Times"/>
        </w:rPr>
        <w:t>(</w:t>
      </w:r>
      <w:r w:rsidRPr="00A92636">
        <w:rPr>
          <w:rFonts w:ascii="Times" w:hAnsi="Times"/>
        </w:rPr>
        <w:t>2010</w:t>
      </w:r>
      <w:r w:rsidR="0098592D">
        <w:rPr>
          <w:rFonts w:ascii="Times" w:hAnsi="Times"/>
        </w:rPr>
        <w:t>)</w:t>
      </w:r>
      <w:r w:rsidRPr="00A92636">
        <w:rPr>
          <w:rFonts w:ascii="Times" w:hAnsi="Times"/>
        </w:rPr>
        <w:t xml:space="preserve">. </w:t>
      </w:r>
      <w:r w:rsidRPr="00A92636">
        <w:rPr>
          <w:rFonts w:ascii="Times" w:hAnsi="Times"/>
          <w:i/>
          <w:iCs/>
        </w:rPr>
        <w:t xml:space="preserve">Whistling Vivaldi: How Stereotypes Affect </w:t>
      </w:r>
      <w:proofErr w:type="gramStart"/>
      <w:r w:rsidR="00096793">
        <w:rPr>
          <w:rFonts w:ascii="Times" w:hAnsi="Times"/>
          <w:i/>
          <w:iCs/>
        </w:rPr>
        <w:t>Us and What</w:t>
      </w:r>
      <w:proofErr w:type="gramEnd"/>
      <w:r w:rsidR="00096793">
        <w:rPr>
          <w:rFonts w:ascii="Times" w:hAnsi="Times"/>
          <w:i/>
          <w:iCs/>
        </w:rPr>
        <w:t xml:space="preserve"> We Can Do About It</w:t>
      </w:r>
    </w:p>
    <w:p w14:paraId="4E76A7D4" w14:textId="77777777" w:rsidR="005B62E4" w:rsidRPr="00A92636" w:rsidRDefault="005B62E4" w:rsidP="005B62E4">
      <w:pPr>
        <w:ind w:firstLine="720"/>
        <w:rPr>
          <w:rFonts w:ascii="Times" w:hAnsi="Times"/>
          <w:i/>
          <w:iCs/>
        </w:rPr>
      </w:pPr>
    </w:p>
    <w:p w14:paraId="39114210" w14:textId="77777777" w:rsidR="005B62E4" w:rsidRPr="00A92636" w:rsidRDefault="005B62E4" w:rsidP="005B62E4">
      <w:pPr>
        <w:ind w:firstLine="720"/>
        <w:rPr>
          <w:rFonts w:ascii="Times" w:hAnsi="Times"/>
        </w:rPr>
      </w:pPr>
      <w:r w:rsidRPr="00A92636">
        <w:rPr>
          <w:rFonts w:ascii="Times" w:hAnsi="Times"/>
        </w:rPr>
        <w:t xml:space="preserve">D. Sue et al. (2007). “Racial </w:t>
      </w:r>
      <w:proofErr w:type="spellStart"/>
      <w:r w:rsidRPr="00A92636">
        <w:rPr>
          <w:rFonts w:ascii="Times" w:hAnsi="Times"/>
        </w:rPr>
        <w:t>Microaggressions</w:t>
      </w:r>
      <w:proofErr w:type="spellEnd"/>
      <w:r w:rsidRPr="00A92636">
        <w:rPr>
          <w:rFonts w:ascii="Times" w:hAnsi="Times"/>
        </w:rPr>
        <w:t xml:space="preserve"> in Everyday Life: Implications for Clinical Practice.” </w:t>
      </w:r>
      <w:proofErr w:type="gramStart"/>
      <w:r w:rsidRPr="00A92636">
        <w:rPr>
          <w:rFonts w:ascii="Times" w:hAnsi="Times"/>
          <w:i/>
          <w:iCs/>
        </w:rPr>
        <w:t>Am</w:t>
      </w:r>
      <w:proofErr w:type="gramEnd"/>
      <w:r w:rsidRPr="00A92636">
        <w:rPr>
          <w:rFonts w:ascii="Times" w:hAnsi="Times"/>
          <w:i/>
          <w:iCs/>
        </w:rPr>
        <w:t xml:space="preserve"> Psychologist</w:t>
      </w:r>
      <w:r w:rsidRPr="00A92636">
        <w:rPr>
          <w:rFonts w:ascii="Times" w:hAnsi="Times"/>
        </w:rPr>
        <w:t xml:space="preserve"> 62: 271-286. </w:t>
      </w:r>
    </w:p>
    <w:p w14:paraId="662035AE" w14:textId="77777777" w:rsidR="00CC1D97" w:rsidRPr="00A92636" w:rsidRDefault="00CC1D97" w:rsidP="00CC1D97">
      <w:pPr>
        <w:ind w:firstLine="720"/>
        <w:rPr>
          <w:rFonts w:ascii="Times" w:hAnsi="Times"/>
        </w:rPr>
      </w:pPr>
    </w:p>
    <w:p w14:paraId="7CB83431" w14:textId="77777777" w:rsidR="005B62E4" w:rsidRPr="00A92636" w:rsidRDefault="005B62E4" w:rsidP="00CC1D97">
      <w:pPr>
        <w:ind w:firstLine="720"/>
        <w:rPr>
          <w:rFonts w:ascii="Times" w:hAnsi="Times"/>
        </w:rPr>
      </w:pPr>
      <w:r w:rsidRPr="00A92636">
        <w:rPr>
          <w:rFonts w:ascii="Times" w:hAnsi="Times"/>
        </w:rPr>
        <w:t xml:space="preserve">D. W. Sue, et al. (2009). “Racial </w:t>
      </w:r>
      <w:proofErr w:type="spellStart"/>
      <w:r w:rsidRPr="00A92636">
        <w:rPr>
          <w:rFonts w:ascii="Times" w:hAnsi="Times"/>
        </w:rPr>
        <w:t>microaggressions</w:t>
      </w:r>
      <w:proofErr w:type="spellEnd"/>
      <w:r w:rsidRPr="00A92636">
        <w:rPr>
          <w:rFonts w:ascii="Times" w:hAnsi="Times"/>
        </w:rPr>
        <w:t xml:space="preserve"> and difficult dialogues on race in the classroom.” </w:t>
      </w:r>
      <w:r w:rsidRPr="00A92636">
        <w:rPr>
          <w:rFonts w:ascii="Times" w:hAnsi="Times"/>
          <w:i/>
          <w:iCs/>
        </w:rPr>
        <w:t>Cultural Diversity and Ethnic Minority Psychology</w:t>
      </w:r>
      <w:r w:rsidRPr="00A92636">
        <w:rPr>
          <w:rFonts w:ascii="Times" w:hAnsi="Times"/>
        </w:rPr>
        <w:t xml:space="preserve"> 15: 183-190.</w:t>
      </w:r>
    </w:p>
    <w:p w14:paraId="720C35B5" w14:textId="77777777" w:rsidR="005037AF" w:rsidRDefault="005037AF" w:rsidP="005B62E4">
      <w:pPr>
        <w:ind w:firstLine="720"/>
        <w:rPr>
          <w:rFonts w:ascii="Times" w:hAnsi="Times"/>
        </w:rPr>
      </w:pPr>
    </w:p>
    <w:p w14:paraId="41B72FCA" w14:textId="77777777" w:rsidR="005B62E4" w:rsidRPr="00A92636" w:rsidRDefault="005B62E4" w:rsidP="005B62E4">
      <w:pPr>
        <w:ind w:firstLine="720"/>
        <w:rPr>
          <w:rFonts w:ascii="Times" w:hAnsi="Times"/>
        </w:rPr>
      </w:pPr>
      <w:r w:rsidRPr="00A92636">
        <w:rPr>
          <w:rFonts w:ascii="Times" w:hAnsi="Times"/>
        </w:rPr>
        <w:t xml:space="preserve">P. </w:t>
      </w:r>
      <w:proofErr w:type="spellStart"/>
      <w:r w:rsidRPr="00A92636">
        <w:rPr>
          <w:rFonts w:ascii="Times" w:hAnsi="Times"/>
        </w:rPr>
        <w:t>Clance</w:t>
      </w:r>
      <w:proofErr w:type="spellEnd"/>
      <w:r w:rsidRPr="00A92636">
        <w:rPr>
          <w:rFonts w:ascii="Times" w:hAnsi="Times"/>
        </w:rPr>
        <w:t xml:space="preserve"> and S. </w:t>
      </w:r>
      <w:proofErr w:type="spellStart"/>
      <w:r w:rsidRPr="00A92636">
        <w:rPr>
          <w:rFonts w:ascii="Times" w:hAnsi="Times"/>
        </w:rPr>
        <w:t>Imes</w:t>
      </w:r>
      <w:proofErr w:type="spellEnd"/>
      <w:r w:rsidRPr="00A92636">
        <w:rPr>
          <w:rFonts w:ascii="Times" w:hAnsi="Times"/>
        </w:rPr>
        <w:t xml:space="preserve">. (1978). "The Imposter Phenomenon in High Achieving Women: Dynamics and Therapeutic Intervention." </w:t>
      </w:r>
      <w:r w:rsidRPr="00A92636">
        <w:rPr>
          <w:rFonts w:ascii="Times" w:hAnsi="Times"/>
          <w:i/>
          <w:iCs/>
        </w:rPr>
        <w:t>Psychotherapy: Theory, Research &amp; Practice</w:t>
      </w:r>
      <w:r w:rsidRPr="00A92636">
        <w:rPr>
          <w:rFonts w:ascii="Times" w:hAnsi="Times"/>
        </w:rPr>
        <w:t xml:space="preserve"> 15: 241–247. </w:t>
      </w:r>
    </w:p>
    <w:p w14:paraId="2BB1391E" w14:textId="77777777" w:rsidR="005B62E4" w:rsidRPr="00A92636" w:rsidRDefault="005B62E4" w:rsidP="005B62E4">
      <w:pPr>
        <w:ind w:firstLine="720"/>
        <w:rPr>
          <w:rFonts w:ascii="Times" w:hAnsi="Times"/>
        </w:rPr>
      </w:pPr>
    </w:p>
    <w:p w14:paraId="48E8FA7B" w14:textId="33C40ADE" w:rsidR="005B62E4" w:rsidRPr="00A92636" w:rsidRDefault="0098592D" w:rsidP="005B62E4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Carol </w:t>
      </w:r>
      <w:proofErr w:type="spellStart"/>
      <w:r>
        <w:rPr>
          <w:rFonts w:ascii="Times" w:hAnsi="Times"/>
        </w:rPr>
        <w:t>Dweck</w:t>
      </w:r>
      <w:proofErr w:type="spellEnd"/>
      <w:r>
        <w:rPr>
          <w:rFonts w:ascii="Times" w:hAnsi="Times"/>
        </w:rPr>
        <w:t xml:space="preserve">. </w:t>
      </w:r>
      <w:r w:rsidRPr="00A92636">
        <w:rPr>
          <w:rFonts w:ascii="Times" w:hAnsi="Times"/>
        </w:rPr>
        <w:t>(2006)</w:t>
      </w:r>
      <w:r>
        <w:rPr>
          <w:rFonts w:ascii="Times" w:hAnsi="Times"/>
        </w:rPr>
        <w:t xml:space="preserve">. </w:t>
      </w:r>
      <w:r w:rsidR="005B62E4" w:rsidRPr="00A92636">
        <w:rPr>
          <w:rFonts w:ascii="Times" w:hAnsi="Times"/>
          <w:i/>
          <w:iCs/>
        </w:rPr>
        <w:t>Mindset: The New Psychology of Success</w:t>
      </w:r>
    </w:p>
    <w:p w14:paraId="2CDE1E92" w14:textId="77777777" w:rsidR="005B62E4" w:rsidRPr="00A92636" w:rsidRDefault="005B62E4" w:rsidP="005B62E4">
      <w:pPr>
        <w:ind w:firstLine="720"/>
        <w:rPr>
          <w:rFonts w:ascii="Times" w:hAnsi="Times"/>
        </w:rPr>
      </w:pPr>
    </w:p>
    <w:p w14:paraId="6047915E" w14:textId="1AFDE013" w:rsidR="005B62E4" w:rsidRPr="00A92636" w:rsidRDefault="005B62E4" w:rsidP="005B62E4">
      <w:pPr>
        <w:ind w:firstLine="720"/>
        <w:rPr>
          <w:rFonts w:ascii="Times" w:hAnsi="Times"/>
        </w:rPr>
      </w:pPr>
      <w:r w:rsidRPr="00A92636">
        <w:rPr>
          <w:rFonts w:ascii="Times" w:hAnsi="Times"/>
        </w:rPr>
        <w:t xml:space="preserve">Craig Nelson. </w:t>
      </w:r>
      <w:r w:rsidR="007E7EDA">
        <w:rPr>
          <w:rFonts w:ascii="Times" w:hAnsi="Times"/>
        </w:rPr>
        <w:t>(</w:t>
      </w:r>
      <w:r w:rsidRPr="00A92636">
        <w:rPr>
          <w:rFonts w:ascii="Times" w:hAnsi="Times"/>
        </w:rPr>
        <w:t>2010</w:t>
      </w:r>
      <w:r w:rsidR="007E7EDA">
        <w:rPr>
          <w:rFonts w:ascii="Times" w:hAnsi="Times"/>
        </w:rPr>
        <w:t>)</w:t>
      </w:r>
      <w:r w:rsidRPr="00A92636">
        <w:rPr>
          <w:rFonts w:ascii="Times" w:hAnsi="Times"/>
        </w:rPr>
        <w:t xml:space="preserve">. “Dysfunctional Illusions of Rigor: Lessons from the Scholarship of Teaching and Learning” in </w:t>
      </w:r>
      <w:r w:rsidRPr="00A92636">
        <w:rPr>
          <w:rFonts w:ascii="Times" w:hAnsi="Times"/>
          <w:i/>
          <w:iCs/>
        </w:rPr>
        <w:t>To Improve the Academy: Resources for Faculty, Instructional, and Organizational Development</w:t>
      </w:r>
      <w:r w:rsidRPr="00A92636">
        <w:rPr>
          <w:rFonts w:ascii="Times" w:hAnsi="Times"/>
        </w:rPr>
        <w:t>.</w:t>
      </w:r>
    </w:p>
    <w:p w14:paraId="34A0A42E" w14:textId="77777777" w:rsidR="005B62E4" w:rsidRPr="00A92636" w:rsidRDefault="005B62E4" w:rsidP="005B62E4">
      <w:pPr>
        <w:ind w:firstLine="720"/>
        <w:rPr>
          <w:rFonts w:ascii="Times" w:hAnsi="Times"/>
        </w:rPr>
      </w:pPr>
    </w:p>
    <w:p w14:paraId="11C75B2B" w14:textId="298F6855" w:rsidR="005B62E4" w:rsidRPr="00A92636" w:rsidRDefault="00CC1D97" w:rsidP="00CC1D97">
      <w:pPr>
        <w:rPr>
          <w:rFonts w:ascii="Times" w:hAnsi="Times"/>
        </w:rPr>
      </w:pPr>
      <w:r w:rsidRPr="00A92636">
        <w:rPr>
          <w:rFonts w:ascii="Times" w:hAnsi="Times"/>
        </w:rPr>
        <w:t>We have run this works</w:t>
      </w:r>
      <w:r w:rsidR="00BE570A">
        <w:rPr>
          <w:rFonts w:ascii="Times" w:hAnsi="Times"/>
        </w:rPr>
        <w:t>hop in a 2.5-</w:t>
      </w:r>
      <w:r w:rsidR="0055635E">
        <w:rPr>
          <w:rFonts w:ascii="Times" w:hAnsi="Times"/>
        </w:rPr>
        <w:t>hour format</w:t>
      </w:r>
      <w:r w:rsidRPr="00A92636">
        <w:rPr>
          <w:rFonts w:ascii="Times" w:hAnsi="Times"/>
        </w:rPr>
        <w:t xml:space="preserve"> twice and received positive feedback on its usefulness and engagement.  For this session we </w:t>
      </w:r>
      <w:r w:rsidR="005C71F7" w:rsidRPr="00A92636">
        <w:rPr>
          <w:rFonts w:ascii="Times" w:hAnsi="Times"/>
        </w:rPr>
        <w:t>propose a shorter 75 min format</w:t>
      </w:r>
      <w:r w:rsidRPr="00A92636">
        <w:rPr>
          <w:rFonts w:ascii="Times" w:hAnsi="Times"/>
        </w:rPr>
        <w:t xml:space="preserve"> </w:t>
      </w:r>
      <w:r w:rsidR="005C71F7" w:rsidRPr="00A92636">
        <w:rPr>
          <w:rFonts w:ascii="Times" w:hAnsi="Times"/>
        </w:rPr>
        <w:t xml:space="preserve">that </w:t>
      </w:r>
      <w:r w:rsidR="007449B0">
        <w:rPr>
          <w:rFonts w:ascii="Times" w:hAnsi="Times"/>
        </w:rPr>
        <w:t>will emphasize</w:t>
      </w:r>
      <w:r w:rsidRPr="00A92636">
        <w:rPr>
          <w:rFonts w:ascii="Times" w:hAnsi="Times"/>
        </w:rPr>
        <w:t xml:space="preserve"> the engagement pieces</w:t>
      </w:r>
      <w:r w:rsidR="007449B0">
        <w:rPr>
          <w:rFonts w:ascii="Times" w:hAnsi="Times"/>
        </w:rPr>
        <w:t xml:space="preserve"> and provide </w:t>
      </w:r>
      <w:r w:rsidRPr="00A92636">
        <w:rPr>
          <w:rFonts w:ascii="Times" w:hAnsi="Times"/>
        </w:rPr>
        <w:t xml:space="preserve">background material </w:t>
      </w:r>
      <w:r w:rsidR="007449B0">
        <w:rPr>
          <w:rFonts w:ascii="Times" w:hAnsi="Times"/>
        </w:rPr>
        <w:t>more efficiently through a handout</w:t>
      </w:r>
      <w:r w:rsidRPr="00A92636">
        <w:rPr>
          <w:rFonts w:ascii="Times" w:hAnsi="Times"/>
        </w:rPr>
        <w:t xml:space="preserve">, including slides and a resource </w:t>
      </w:r>
      <w:r w:rsidR="005C71F7" w:rsidRPr="00A92636">
        <w:rPr>
          <w:rFonts w:ascii="Times" w:hAnsi="Times"/>
        </w:rPr>
        <w:t>list</w:t>
      </w:r>
      <w:r w:rsidRPr="00A92636">
        <w:rPr>
          <w:rFonts w:ascii="Times" w:hAnsi="Times"/>
        </w:rPr>
        <w:t>.</w:t>
      </w:r>
    </w:p>
    <w:p w14:paraId="28014E06" w14:textId="77777777" w:rsidR="00CC1D97" w:rsidRPr="00A92636" w:rsidRDefault="00CC1D97" w:rsidP="00CC1D97">
      <w:pPr>
        <w:rPr>
          <w:rFonts w:ascii="Times" w:hAnsi="Times"/>
        </w:rPr>
      </w:pPr>
    </w:p>
    <w:p w14:paraId="551B0802" w14:textId="77777777" w:rsidR="00CC1D97" w:rsidRPr="00A92636" w:rsidRDefault="00CC1D97" w:rsidP="00CC1D97">
      <w:pPr>
        <w:rPr>
          <w:rFonts w:ascii="Times" w:hAnsi="Times"/>
        </w:rPr>
      </w:pPr>
    </w:p>
    <w:p w14:paraId="090F07AD" w14:textId="77777777" w:rsidR="005B62E4" w:rsidRPr="00A92636" w:rsidRDefault="005B62E4">
      <w:pPr>
        <w:rPr>
          <w:rFonts w:ascii="Times" w:hAnsi="Times"/>
          <w:b/>
        </w:rPr>
      </w:pPr>
      <w:r w:rsidRPr="00A92636">
        <w:rPr>
          <w:rFonts w:ascii="Times" w:hAnsi="Times"/>
          <w:b/>
        </w:rPr>
        <w:t>Plan for participant engagement</w:t>
      </w:r>
    </w:p>
    <w:p w14:paraId="20A62E3F" w14:textId="77777777" w:rsidR="005B62E4" w:rsidRPr="00A92636" w:rsidRDefault="005B62E4">
      <w:pPr>
        <w:rPr>
          <w:rFonts w:ascii="Times" w:hAnsi="Times"/>
        </w:rPr>
      </w:pPr>
    </w:p>
    <w:p w14:paraId="46762094" w14:textId="0BD094CD" w:rsidR="003341BE" w:rsidRPr="00A92636" w:rsidRDefault="003341BE">
      <w:pPr>
        <w:rPr>
          <w:rFonts w:ascii="Times" w:hAnsi="Times"/>
        </w:rPr>
      </w:pPr>
      <w:r w:rsidRPr="00A92636">
        <w:rPr>
          <w:rFonts w:ascii="Times" w:hAnsi="Times"/>
        </w:rPr>
        <w:t>The workshop has four segments:</w:t>
      </w:r>
    </w:p>
    <w:p w14:paraId="2248FBC8" w14:textId="44EDBEDC" w:rsidR="00CC1D97" w:rsidRPr="00A92636" w:rsidRDefault="00CC1D97" w:rsidP="005B62E4">
      <w:pPr>
        <w:numPr>
          <w:ilvl w:val="0"/>
          <w:numId w:val="1"/>
        </w:numPr>
        <w:rPr>
          <w:rFonts w:ascii="Times" w:hAnsi="Times"/>
        </w:rPr>
      </w:pPr>
      <w:r w:rsidRPr="00A92636">
        <w:rPr>
          <w:rFonts w:ascii="Times" w:hAnsi="Times"/>
        </w:rPr>
        <w:t>Reflecting on Values and Intentions</w:t>
      </w:r>
      <w:r w:rsidR="003341BE" w:rsidRPr="00A92636">
        <w:rPr>
          <w:rFonts w:ascii="Times" w:hAnsi="Times"/>
        </w:rPr>
        <w:t xml:space="preserve"> (a think-pair share exercise) 10 min</w:t>
      </w:r>
    </w:p>
    <w:p w14:paraId="64EFF9C7" w14:textId="1DC20519" w:rsidR="00CC1D97" w:rsidRPr="00A92636" w:rsidRDefault="00CC1D97" w:rsidP="005B62E4">
      <w:pPr>
        <w:numPr>
          <w:ilvl w:val="0"/>
          <w:numId w:val="1"/>
        </w:numPr>
        <w:rPr>
          <w:rFonts w:ascii="Times" w:hAnsi="Times"/>
        </w:rPr>
      </w:pPr>
      <w:r w:rsidRPr="00A92636">
        <w:rPr>
          <w:rFonts w:ascii="Times" w:hAnsi="Times"/>
        </w:rPr>
        <w:t>How Do Issues of Diversity and Inclusion Affect Learning and Academic Success?</w:t>
      </w:r>
      <w:r w:rsidR="003341BE" w:rsidRPr="00A92636">
        <w:rPr>
          <w:rFonts w:ascii="Times" w:hAnsi="Times"/>
        </w:rPr>
        <w:t xml:space="preserve"> (</w:t>
      </w:r>
      <w:proofErr w:type="spellStart"/>
      <w:proofErr w:type="gramStart"/>
      <w:r w:rsidR="003341BE" w:rsidRPr="00A92636">
        <w:rPr>
          <w:rFonts w:ascii="Times" w:hAnsi="Times"/>
        </w:rPr>
        <w:t>ppt</w:t>
      </w:r>
      <w:proofErr w:type="spellEnd"/>
      <w:proofErr w:type="gramEnd"/>
      <w:r w:rsidR="003341BE" w:rsidRPr="00A92636">
        <w:rPr>
          <w:rFonts w:ascii="Times" w:hAnsi="Times"/>
        </w:rPr>
        <w:t xml:space="preserve"> slide overview of research background, supplemented with handouts) 10 min</w:t>
      </w:r>
    </w:p>
    <w:p w14:paraId="654E2421" w14:textId="56D20569" w:rsidR="00CC1D97" w:rsidRPr="00A92636" w:rsidRDefault="00CC1D97" w:rsidP="005B62E4">
      <w:pPr>
        <w:numPr>
          <w:ilvl w:val="0"/>
          <w:numId w:val="1"/>
        </w:numPr>
        <w:rPr>
          <w:rFonts w:ascii="Times" w:hAnsi="Times"/>
        </w:rPr>
      </w:pPr>
      <w:r w:rsidRPr="00A92636">
        <w:rPr>
          <w:rFonts w:ascii="Times" w:hAnsi="Times"/>
        </w:rPr>
        <w:t>Discovering Strategies that Can Enable All Students to Succeed</w:t>
      </w:r>
      <w:r w:rsidR="003341BE" w:rsidRPr="00A92636">
        <w:rPr>
          <w:rFonts w:ascii="Times" w:hAnsi="Times"/>
        </w:rPr>
        <w:t xml:space="preserve"> (small group discussion of example scenarios and strategies) 35 min</w:t>
      </w:r>
    </w:p>
    <w:p w14:paraId="01CCE1DB" w14:textId="608D7AA2" w:rsidR="00CC1D97" w:rsidRPr="00A92636" w:rsidRDefault="00CC1D97" w:rsidP="005B62E4">
      <w:pPr>
        <w:numPr>
          <w:ilvl w:val="0"/>
          <w:numId w:val="1"/>
        </w:numPr>
        <w:rPr>
          <w:rFonts w:ascii="Times" w:hAnsi="Times"/>
        </w:rPr>
      </w:pPr>
      <w:r w:rsidRPr="00A92636">
        <w:rPr>
          <w:rFonts w:ascii="Times" w:hAnsi="Times"/>
        </w:rPr>
        <w:t>Intentions Moving Forward</w:t>
      </w:r>
      <w:r w:rsidR="003341BE" w:rsidRPr="00A92636">
        <w:rPr>
          <w:rFonts w:ascii="Times" w:hAnsi="Times"/>
        </w:rPr>
        <w:t xml:space="preserve"> (</w:t>
      </w:r>
      <w:r w:rsidR="00BE4F75">
        <w:rPr>
          <w:rFonts w:ascii="Times" w:hAnsi="Times"/>
        </w:rPr>
        <w:t xml:space="preserve">report out and </w:t>
      </w:r>
      <w:r w:rsidR="003341BE" w:rsidRPr="00A92636">
        <w:rPr>
          <w:rFonts w:ascii="Times" w:hAnsi="Times"/>
        </w:rPr>
        <w:t>commitment to action plans) 20 min</w:t>
      </w:r>
    </w:p>
    <w:p w14:paraId="2C013632" w14:textId="77777777" w:rsidR="005B62E4" w:rsidRPr="00A92636" w:rsidRDefault="005B62E4">
      <w:pPr>
        <w:rPr>
          <w:rFonts w:ascii="Times" w:hAnsi="Times"/>
        </w:rPr>
      </w:pPr>
    </w:p>
    <w:p w14:paraId="4588F961" w14:textId="77777777" w:rsidR="005B62E4" w:rsidRPr="00A92636" w:rsidRDefault="005B62E4">
      <w:pPr>
        <w:rPr>
          <w:rFonts w:ascii="Times" w:hAnsi="Times"/>
        </w:rPr>
      </w:pPr>
    </w:p>
    <w:p w14:paraId="32D3C738" w14:textId="77777777" w:rsidR="005B62E4" w:rsidRPr="00A92636" w:rsidRDefault="005B62E4">
      <w:pPr>
        <w:rPr>
          <w:rFonts w:ascii="Times" w:hAnsi="Times"/>
        </w:rPr>
      </w:pPr>
      <w:r w:rsidRPr="00A92636">
        <w:rPr>
          <w:rFonts w:ascii="Times" w:hAnsi="Times"/>
        </w:rPr>
        <w:t>Brief Description</w:t>
      </w:r>
    </w:p>
    <w:p w14:paraId="018E860A" w14:textId="77777777" w:rsidR="00CC1D97" w:rsidRPr="00A92636" w:rsidRDefault="00CC1D97">
      <w:pPr>
        <w:rPr>
          <w:rFonts w:ascii="Times" w:hAnsi="Times"/>
        </w:rPr>
      </w:pPr>
    </w:p>
    <w:p w14:paraId="2F21D376" w14:textId="7AF64930" w:rsidR="00A92636" w:rsidRPr="00A92636" w:rsidRDefault="00A92636">
      <w:pPr>
        <w:rPr>
          <w:rFonts w:ascii="Times" w:hAnsi="Times"/>
          <w:b/>
        </w:rPr>
      </w:pPr>
      <w:r w:rsidRPr="00A92636">
        <w:rPr>
          <w:rFonts w:ascii="Times" w:hAnsi="Times"/>
          <w:b/>
        </w:rPr>
        <w:t xml:space="preserve">Teaching for Diversity </w:t>
      </w:r>
      <w:r w:rsidRPr="00A92636">
        <w:rPr>
          <w:rFonts w:ascii="Times" w:hAnsi="Times"/>
          <w:b/>
        </w:rPr>
        <w:br/>
        <w:t>and Equity: Scholarship and Practice</w:t>
      </w:r>
    </w:p>
    <w:p w14:paraId="1EFA14A2" w14:textId="77777777" w:rsidR="00A92636" w:rsidRPr="00A92636" w:rsidRDefault="00A92636">
      <w:pPr>
        <w:rPr>
          <w:rFonts w:ascii="Times" w:hAnsi="Times"/>
        </w:rPr>
      </w:pPr>
    </w:p>
    <w:p w14:paraId="4FF94BC7" w14:textId="160A5A0C" w:rsidR="00EB429D" w:rsidRPr="006471B3" w:rsidRDefault="00513F69" w:rsidP="006471B3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A92636">
        <w:rPr>
          <w:rFonts w:ascii="Times" w:eastAsia="Times New Roman" w:hAnsi="Times" w:cs="Times New Roman"/>
          <w:color w:val="000000"/>
          <w:shd w:val="clear" w:color="auto" w:fill="FFFFFF"/>
        </w:rPr>
        <w:t xml:space="preserve">As our classrooms become more culturally and experientially diverse, what can we 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 xml:space="preserve">on our campuses </w:t>
      </w:r>
      <w:r w:rsidR="00EE0132">
        <w:rPr>
          <w:rFonts w:ascii="Times" w:eastAsia="Times New Roman" w:hAnsi="Times" w:cs="Times New Roman"/>
          <w:color w:val="000000"/>
          <w:shd w:val="clear" w:color="auto" w:fill="FFFFFF"/>
        </w:rPr>
        <w:t xml:space="preserve">do </w:t>
      </w:r>
      <w:r w:rsidRPr="00A92636">
        <w:rPr>
          <w:rFonts w:ascii="Times" w:eastAsia="Times New Roman" w:hAnsi="Times" w:cs="Times New Roman"/>
          <w:color w:val="000000"/>
          <w:shd w:val="clear" w:color="auto" w:fill="FFFFFF"/>
        </w:rPr>
        <w:t xml:space="preserve">to ensure that </w:t>
      </w:r>
      <w:r w:rsidRPr="00BE570A">
        <w:rPr>
          <w:rFonts w:ascii="Times" w:eastAsia="Times New Roman" w:hAnsi="Times" w:cs="Times New Roman"/>
          <w:i/>
          <w:color w:val="000000"/>
          <w:shd w:val="clear" w:color="auto" w:fill="FFFFFF"/>
        </w:rPr>
        <w:t>all</w:t>
      </w:r>
      <w:r w:rsidRPr="00A92636">
        <w:rPr>
          <w:rFonts w:ascii="Times" w:eastAsia="Times New Roman" w:hAnsi="Times" w:cs="Times New Roman"/>
          <w:color w:val="000000"/>
          <w:shd w:val="clear" w:color="auto" w:fill="FFFFFF"/>
        </w:rPr>
        <w:t xml:space="preserve"> students have the opportunity to succeed? 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 xml:space="preserve"> </w:t>
      </w:r>
      <w:r w:rsidR="00CC1D97" w:rsidRPr="00A92636">
        <w:rPr>
          <w:rFonts w:ascii="Times" w:eastAsia="Times New Roman" w:hAnsi="Times" w:cs="Times New Roman"/>
          <w:color w:val="000000"/>
          <w:shd w:val="clear" w:color="auto" w:fill="FFFFFF"/>
        </w:rPr>
        <w:t xml:space="preserve">Many professional development opportunities aimed at helping faculty enhance their teaching practices 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 xml:space="preserve">often </w:t>
      </w:r>
      <w:r w:rsidR="00CC1D97" w:rsidRPr="00A92636">
        <w:rPr>
          <w:rFonts w:ascii="Times" w:eastAsia="Times New Roman" w:hAnsi="Times" w:cs="Times New Roman"/>
          <w:color w:val="000000"/>
          <w:shd w:val="clear" w:color="auto" w:fill="FFFFFF"/>
        </w:rPr>
        <w:t xml:space="preserve">overlook the role of cultural competence in teaching and learning and fail to effectively integrate cultural sensitivity with </w:t>
      </w:r>
      <w:r w:rsidR="00E16C35">
        <w:rPr>
          <w:rFonts w:ascii="Times" w:eastAsia="Times New Roman" w:hAnsi="Times" w:cs="Times New Roman"/>
          <w:color w:val="000000"/>
          <w:shd w:val="clear" w:color="auto" w:fill="FFFFFF"/>
        </w:rPr>
        <w:t>high impact</w:t>
      </w:r>
      <w:r w:rsidR="00CC1D97" w:rsidRPr="00A92636">
        <w:rPr>
          <w:rFonts w:ascii="Times" w:eastAsia="Times New Roman" w:hAnsi="Times" w:cs="Times New Roman"/>
          <w:color w:val="000000"/>
          <w:shd w:val="clear" w:color="auto" w:fill="FFFFFF"/>
        </w:rPr>
        <w:t xml:space="preserve"> pedagogies. Factors such as race, ethnicity, and socioeconomic status can have a significant impact on a student’s educational experiences. There is a growing body of research that identifies </w:t>
      </w:r>
      <w:r w:rsidR="00A613B3">
        <w:rPr>
          <w:rFonts w:ascii="Times" w:eastAsia="Times New Roman" w:hAnsi="Times" w:cs="Times New Roman"/>
          <w:color w:val="000000"/>
          <w:shd w:val="clear" w:color="auto" w:fill="FFFFFF"/>
        </w:rPr>
        <w:t xml:space="preserve">such </w:t>
      </w:r>
      <w:r w:rsidR="00CC1D97" w:rsidRPr="00A92636">
        <w:rPr>
          <w:rFonts w:ascii="Times" w:eastAsia="Times New Roman" w:hAnsi="Times" w:cs="Times New Roman"/>
          <w:color w:val="000000"/>
          <w:shd w:val="clear" w:color="auto" w:fill="FFFFFF"/>
        </w:rPr>
        <w:t xml:space="preserve">issues and describes tested strategies for helping 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t xml:space="preserve">both </w:t>
      </w:r>
      <w:r w:rsidR="00CC1D97" w:rsidRPr="00A92636">
        <w:rPr>
          <w:rFonts w:ascii="Times" w:eastAsia="Times New Roman" w:hAnsi="Times" w:cs="Times New Roman"/>
          <w:color w:val="000000"/>
          <w:shd w:val="clear" w:color="auto" w:fill="FFFFFF"/>
        </w:rPr>
        <w:t>faculty and students overcome them. </w:t>
      </w:r>
      <w:r w:rsidR="00CC1D97" w:rsidRPr="00A92636">
        <w:rPr>
          <w:rFonts w:ascii="Times" w:eastAsia="Times New Roman" w:hAnsi="Times" w:cs="Times New Roman"/>
          <w:color w:val="000000"/>
        </w:rPr>
        <w:br/>
      </w:r>
      <w:r w:rsidR="00CC1D97" w:rsidRPr="00A92636">
        <w:rPr>
          <w:rFonts w:ascii="Times" w:eastAsia="Times New Roman" w:hAnsi="Times" w:cs="Times New Roman"/>
          <w:color w:val="000000"/>
        </w:rPr>
        <w:br/>
      </w:r>
      <w:r w:rsidR="00715429">
        <w:rPr>
          <w:rFonts w:ascii="Times" w:eastAsia="Times New Roman" w:hAnsi="Times" w:cs="Times New Roman"/>
          <w:color w:val="000000"/>
          <w:shd w:val="clear" w:color="auto" w:fill="FFFFFF"/>
        </w:rPr>
        <w:t>In this problem solving session p</w:t>
      </w:r>
      <w:r w:rsidR="00EB429D">
        <w:rPr>
          <w:rFonts w:ascii="Times" w:eastAsia="Times New Roman" w:hAnsi="Times" w:cs="Times New Roman"/>
          <w:color w:val="000000"/>
          <w:shd w:val="clear" w:color="auto" w:fill="FFFFFF"/>
        </w:rPr>
        <w:t xml:space="preserve">articipants </w:t>
      </w:r>
      <w:r w:rsidR="006471B3">
        <w:rPr>
          <w:rFonts w:ascii="Times" w:eastAsia="Times New Roman" w:hAnsi="Times" w:cs="Times New Roman"/>
          <w:color w:val="000000"/>
          <w:shd w:val="clear" w:color="auto" w:fill="FFFFFF"/>
        </w:rPr>
        <w:t xml:space="preserve">will </w:t>
      </w:r>
      <w:r w:rsidR="00EB429D" w:rsidRPr="006471B3">
        <w:rPr>
          <w:rFonts w:ascii="Times" w:eastAsia="Times New Roman" w:hAnsi="Times" w:cs="Times New Roman"/>
          <w:color w:val="000000"/>
          <w:shd w:val="clear" w:color="auto" w:fill="FFFFFF"/>
        </w:rPr>
        <w:t>reflect on their current practice</w:t>
      </w:r>
      <w:r w:rsidR="00715429">
        <w:rPr>
          <w:rFonts w:ascii="Times" w:eastAsia="Times New Roman" w:hAnsi="Times" w:cs="Times New Roman"/>
          <w:color w:val="000000"/>
          <w:shd w:val="clear" w:color="auto" w:fill="FFFFFF"/>
        </w:rPr>
        <w:t>s</w:t>
      </w:r>
      <w:r w:rsidR="006471B3">
        <w:rPr>
          <w:rFonts w:ascii="Times" w:eastAsia="Times New Roman" w:hAnsi="Times" w:cs="Times New Roman"/>
          <w:color w:val="000000"/>
          <w:shd w:val="clear" w:color="auto" w:fill="FFFFFF"/>
        </w:rPr>
        <w:t xml:space="preserve">, </w:t>
      </w:r>
      <w:r w:rsidR="00EB429D" w:rsidRPr="006471B3">
        <w:rPr>
          <w:rFonts w:ascii="Times" w:eastAsia="Times New Roman" w:hAnsi="Times" w:cs="Times New Roman"/>
          <w:color w:val="000000"/>
          <w:shd w:val="clear" w:color="auto" w:fill="FFFFFF"/>
        </w:rPr>
        <w:t>learn about the scholarship and emerging practices relating to divers</w:t>
      </w:r>
      <w:r w:rsidR="006471B3">
        <w:rPr>
          <w:rFonts w:ascii="Times" w:eastAsia="Times New Roman" w:hAnsi="Times" w:cs="Times New Roman"/>
          <w:color w:val="000000"/>
          <w:shd w:val="clear" w:color="auto" w:fill="FFFFFF"/>
        </w:rPr>
        <w:t xml:space="preserve">ity and equity in </w:t>
      </w:r>
      <w:r w:rsidR="00715429">
        <w:rPr>
          <w:rFonts w:ascii="Times" w:eastAsia="Times New Roman" w:hAnsi="Times" w:cs="Times New Roman"/>
          <w:color w:val="000000"/>
          <w:shd w:val="clear" w:color="auto" w:fill="FFFFFF"/>
        </w:rPr>
        <w:t>learning</w:t>
      </w:r>
      <w:r w:rsidR="006471B3">
        <w:rPr>
          <w:rFonts w:ascii="Times" w:eastAsia="Times New Roman" w:hAnsi="Times" w:cs="Times New Roman"/>
          <w:color w:val="000000"/>
          <w:shd w:val="clear" w:color="auto" w:fill="FFFFFF"/>
        </w:rPr>
        <w:t xml:space="preserve">, </w:t>
      </w:r>
      <w:r w:rsidR="00EB429D" w:rsidRPr="006471B3">
        <w:rPr>
          <w:rFonts w:ascii="Times" w:eastAsia="Times New Roman" w:hAnsi="Times" w:cs="Times New Roman"/>
          <w:color w:val="000000"/>
          <w:shd w:val="clear" w:color="auto" w:fill="FFFFFF"/>
        </w:rPr>
        <w:t>practice the application of strategies through discussion of scenarios</w:t>
      </w:r>
      <w:r w:rsidR="005037AF">
        <w:rPr>
          <w:rFonts w:ascii="Times" w:eastAsia="Times New Roman" w:hAnsi="Times" w:cs="Times New Roman"/>
          <w:color w:val="000000"/>
          <w:shd w:val="clear" w:color="auto" w:fill="FFFFFF"/>
        </w:rPr>
        <w:t>,</w:t>
      </w:r>
      <w:r w:rsidR="006471B3">
        <w:rPr>
          <w:rFonts w:ascii="Times" w:eastAsia="Times New Roman" w:hAnsi="Times" w:cs="Times New Roman"/>
          <w:color w:val="000000"/>
          <w:shd w:val="clear" w:color="auto" w:fill="FFFFFF"/>
        </w:rPr>
        <w:t xml:space="preserve"> and </w:t>
      </w:r>
      <w:r w:rsidR="00EB429D" w:rsidRPr="006471B3">
        <w:rPr>
          <w:rFonts w:ascii="Times" w:eastAsia="Times New Roman" w:hAnsi="Times" w:cs="Times New Roman"/>
          <w:color w:val="000000"/>
          <w:shd w:val="clear" w:color="auto" w:fill="FFFFFF"/>
        </w:rPr>
        <w:t xml:space="preserve">develop a plan for integrating insights from the workshop into their own </w:t>
      </w:r>
      <w:r w:rsidR="00715429">
        <w:rPr>
          <w:rFonts w:ascii="Times" w:eastAsia="Times New Roman" w:hAnsi="Times" w:cs="Times New Roman"/>
          <w:color w:val="000000"/>
          <w:shd w:val="clear" w:color="auto" w:fill="FFFFFF"/>
        </w:rPr>
        <w:t>work.</w:t>
      </w:r>
      <w:r w:rsidR="00EB429D" w:rsidRPr="006471B3">
        <w:rPr>
          <w:rFonts w:ascii="Times" w:eastAsia="Times New Roman" w:hAnsi="Times" w:cs="Times New Roman"/>
          <w:color w:val="000000"/>
        </w:rPr>
        <w:br/>
      </w:r>
    </w:p>
    <w:p w14:paraId="53B8E72D" w14:textId="773B832E" w:rsidR="00CC1D97" w:rsidRPr="00A92636" w:rsidRDefault="00CC1D97">
      <w:pPr>
        <w:rPr>
          <w:rFonts w:ascii="Times" w:hAnsi="Times"/>
        </w:rPr>
      </w:pPr>
    </w:p>
    <w:sectPr w:rsidR="00CC1D97" w:rsidRPr="00A92636" w:rsidSect="00D80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5F7B"/>
    <w:multiLevelType w:val="hybridMultilevel"/>
    <w:tmpl w:val="52EC8A4E"/>
    <w:lvl w:ilvl="0" w:tplc="7CE25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92C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0B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7A2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880C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2F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0A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80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605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C3517"/>
    <w:multiLevelType w:val="hybridMultilevel"/>
    <w:tmpl w:val="03BC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E4"/>
    <w:rsid w:val="00096793"/>
    <w:rsid w:val="001D2C97"/>
    <w:rsid w:val="003341BE"/>
    <w:rsid w:val="003C55E6"/>
    <w:rsid w:val="00463C4F"/>
    <w:rsid w:val="005037AF"/>
    <w:rsid w:val="00513F69"/>
    <w:rsid w:val="0055635E"/>
    <w:rsid w:val="005B62E4"/>
    <w:rsid w:val="005C71F7"/>
    <w:rsid w:val="006471B3"/>
    <w:rsid w:val="0065243C"/>
    <w:rsid w:val="00715429"/>
    <w:rsid w:val="007449B0"/>
    <w:rsid w:val="007E7EDA"/>
    <w:rsid w:val="0095639E"/>
    <w:rsid w:val="0098592D"/>
    <w:rsid w:val="00A613B3"/>
    <w:rsid w:val="00A92636"/>
    <w:rsid w:val="00AB1A26"/>
    <w:rsid w:val="00BD556C"/>
    <w:rsid w:val="00BE4F75"/>
    <w:rsid w:val="00BE570A"/>
    <w:rsid w:val="00BF2BAA"/>
    <w:rsid w:val="00BF4A22"/>
    <w:rsid w:val="00CB0B89"/>
    <w:rsid w:val="00CC1D97"/>
    <w:rsid w:val="00D80FD1"/>
    <w:rsid w:val="00DE7DF0"/>
    <w:rsid w:val="00E16C35"/>
    <w:rsid w:val="00EB429D"/>
    <w:rsid w:val="00E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A84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62E4"/>
  </w:style>
  <w:style w:type="paragraph" w:styleId="ListParagraph">
    <w:name w:val="List Paragraph"/>
    <w:basedOn w:val="Normal"/>
    <w:uiPriority w:val="34"/>
    <w:qFormat/>
    <w:rsid w:val="005B62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3C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1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62E4"/>
  </w:style>
  <w:style w:type="paragraph" w:styleId="ListParagraph">
    <w:name w:val="List Paragraph"/>
    <w:basedOn w:val="Normal"/>
    <w:uiPriority w:val="34"/>
    <w:qFormat/>
    <w:rsid w:val="005B62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3C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1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9485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827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218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0553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3312</Characters>
  <Application>Microsoft Macintosh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McCormack</dc:creator>
  <cp:keywords/>
  <dc:description/>
  <cp:lastModifiedBy>Elizabeth McCormack</cp:lastModifiedBy>
  <cp:revision>2</cp:revision>
  <cp:lastPrinted>2016-03-16T14:33:00Z</cp:lastPrinted>
  <dcterms:created xsi:type="dcterms:W3CDTF">2016-03-16T14:34:00Z</dcterms:created>
  <dcterms:modified xsi:type="dcterms:W3CDTF">2016-03-16T14:34:00Z</dcterms:modified>
</cp:coreProperties>
</file>