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  <w:sz w:val="32"/>
        </w:rPr>
        <w:t>Computational identification of 4-Aminopyridine as a multi-target compound for Spinal Muscular Atrophy via actin cytoskeleton modulation</w:t>
      </w:r>
    </w:p>
    <w:p>
      <w:pPr>
        <w:pStyle w:val="Subtitle"/>
      </w:pPr>
      <w:r>
        <w:t>DRAFT — For discussion with Prof. Schoeneberg / Simon</w:t>
      </w:r>
    </w:p>
    <w:p>
      <w:r>
        <w:t>Christian Fischer | Bryzant Labs | sma-research.info | April 2026</w:t>
      </w:r>
    </w:p>
    <w:p/>
    <w:p>
      <w:pPr>
        <w:pStyle w:val="Heading1"/>
      </w:pPr>
      <w:r>
        <w:t>Abstract</w:t>
      </w:r>
    </w:p>
    <w:p>
      <w:r>
        <w:t>4-Aminopyridine (4-AP, Fampridine), an FDA-approved potassium channel blocker, was identified through systematic computational screening as a multi-target compound binding five SMA-relevant proteins. Virtual screening of 378 compound-target pairs using DiffDock v2.2 revealed 4-AP as the highest-confidence binder to Coronin-1C (CORO1C, confidence +0.251), a novel SMA modifier involved in actin dynamics. 100ns molecular dynamics simulations confirmed stable binding, while free energy perturbation and alanine scanning identified key binding residues. 4-AP simultaneously engages NCALD, SMN2, SMN1, and UBA1, suggesting a multi-pathway mechanism complementary to existing SMN2-targeting therapies. As an oral, BBB-penetrant, approved drug (~$2K/year vs $340K-$2.1M for current SMA therapies), 4-AP represents a compelling repositioning candidate warranting experimental validation.</w:t>
      </w:r>
    </w:p>
    <w:p>
      <w:pPr>
        <w:pStyle w:val="Heading1"/>
      </w:pPr>
      <w:r>
        <w:t>Key Finding</w:t>
      </w:r>
    </w:p>
    <w:p>
      <w:r>
        <w:rPr>
          <w:b/>
          <w:color w:val="C80000"/>
        </w:rPr>
        <w:t>4-AP binds CORO1C with confidence +0.251 — the #1 hit across all 378 compound-target pairs screened.</w:t>
      </w:r>
    </w:p>
    <w:p>
      <w:pPr>
        <w:pStyle w:val="Heading1"/>
      </w:pPr>
      <w:r>
        <w:t>Multi-Target Binding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DiffDock Confidence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SMA 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Pathway</w:t>
            </w:r>
          </w:p>
        </w:tc>
      </w:tr>
      <w:tr>
        <w:tc>
          <w:tcPr>
            <w:tcW w:type="dxa" w:w="2160"/>
          </w:tcPr>
          <w:p>
            <w:r>
              <w:t>CORO1C</w:t>
            </w:r>
          </w:p>
        </w:tc>
        <w:tc>
          <w:tcPr>
            <w:tcW w:type="dxa" w:w="2160"/>
          </w:tcPr>
          <w:p>
            <w:r>
              <w:t>+0.251 (NOVEL, #1)</w:t>
            </w:r>
          </w:p>
        </w:tc>
        <w:tc>
          <w:tcPr>
            <w:tcW w:type="dxa" w:w="2160"/>
          </w:tcPr>
          <w:p>
            <w:r>
              <w:t>Actin dynamics modifier</w:t>
            </w:r>
          </w:p>
        </w:tc>
        <w:tc>
          <w:tcPr>
            <w:tcW w:type="dxa" w:w="2160"/>
          </w:tcPr>
          <w:p>
            <w:r>
              <w:t>Actin Cytoskeleton</w:t>
            </w:r>
          </w:p>
        </w:tc>
      </w:tr>
      <w:tr>
        <w:tc>
          <w:tcPr>
            <w:tcW w:type="dxa" w:w="2160"/>
          </w:tcPr>
          <w:p>
            <w:r>
              <w:t>NCALD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Calcium sensor, severity modifier</w:t>
            </w:r>
          </w:p>
        </w:tc>
        <w:tc>
          <w:tcPr>
            <w:tcW w:type="dxa" w:w="2160"/>
          </w:tcPr>
          <w:p>
            <w:r>
              <w:t>Calcium Signaling</w:t>
            </w:r>
          </w:p>
        </w:tc>
      </w:tr>
      <w:tr>
        <w:tc>
          <w:tcPr>
            <w:tcW w:type="dxa" w:w="2160"/>
          </w:tcPr>
          <w:p>
            <w:r>
              <w:t>SMN2</w:t>
            </w:r>
          </w:p>
        </w:tc>
        <w:tc>
          <w:tcPr>
            <w:tcW w:type="dxa" w:w="2160"/>
          </w:tcPr>
          <w:p>
            <w:r>
              <w:t>+0.100</w:t>
            </w:r>
          </w:p>
        </w:tc>
        <w:tc>
          <w:tcPr>
            <w:tcW w:type="dxa" w:w="2160"/>
          </w:tcPr>
          <w:p>
            <w:r>
              <w:t>Primary SMA gene</w:t>
            </w:r>
          </w:p>
        </w:tc>
        <w:tc>
          <w:tcPr>
            <w:tcW w:type="dxa" w:w="2160"/>
          </w:tcPr>
          <w:p>
            <w:r>
              <w:t>SMN Pathway</w:t>
            </w:r>
          </w:p>
        </w:tc>
      </w:tr>
      <w:tr>
        <w:tc>
          <w:tcPr>
            <w:tcW w:type="dxa" w:w="2160"/>
          </w:tcPr>
          <w:p>
            <w:r>
              <w:t>SMN1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SMA causative gene</w:t>
            </w:r>
          </w:p>
        </w:tc>
        <w:tc>
          <w:tcPr>
            <w:tcW w:type="dxa" w:w="2160"/>
          </w:tcPr>
          <w:p>
            <w:r>
              <w:t>SMN Pathway</w:t>
            </w:r>
          </w:p>
        </w:tc>
      </w:tr>
      <w:tr>
        <w:tc>
          <w:tcPr>
            <w:tcW w:type="dxa" w:w="2160"/>
          </w:tcPr>
          <w:p>
            <w:r>
              <w:t>UBA1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Ubiquitin activating enzyme</w:t>
            </w:r>
          </w:p>
        </w:tc>
        <w:tc>
          <w:tcPr>
            <w:tcW w:type="dxa" w:w="2160"/>
          </w:tcPr>
          <w:p>
            <w:r>
              <w:t>Protein Homeostasis</w:t>
            </w:r>
          </w:p>
        </w:tc>
      </w:tr>
    </w:tbl>
    <w:p>
      <w:pPr>
        <w:pStyle w:val="Heading1"/>
      </w:pPr>
      <w: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78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iffdock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8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DiffDock v2.2 confidence heatmap — 7 compounds × 7 SMA targets. 4-AP → CORO1C highlighted as #1 hit.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03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nerg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MD energy profiles — SMD (unbinding), FEP (free energy), Kv1.2 (positive control).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894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dmet_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9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ADMET safety radar — BBB penetration 79%, oral bioavailability 94%, low cardiac risk.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3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ultitarget_pathw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3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Multi-target pathway — 4-AP engages 5 targets across 3 distinct SMA pathways.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031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md_unbi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SMD unbinding comparison — energy change during ligand extraction from CORO1C vs Kv1.2.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328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ost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2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Treatment cost comparison — 4-AP at $2K/year vs $340K-$2.1M for current SMA therapies.</w:t>
      </w:r>
    </w:p>
    <w:p>
      <w:pPr>
        <w:pStyle w:val="Heading1"/>
      </w:pPr>
      <w:r>
        <w:t>ADMET Safety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BBB Penetration</w:t>
            </w:r>
          </w:p>
        </w:tc>
        <w:tc>
          <w:tcPr>
            <w:tcW w:type="dxa" w:w="2880"/>
          </w:tcPr>
          <w:p>
            <w:r>
              <w:t>79%</w:t>
            </w:r>
          </w:p>
        </w:tc>
        <w:tc>
          <w:tcPr>
            <w:tcW w:type="dxa" w:w="2880"/>
          </w:tcPr>
          <w:p>
            <w:r>
              <w:t>Excellent — critical for SMA</w:t>
            </w:r>
          </w:p>
        </w:tc>
      </w:tr>
      <w:tr>
        <w:tc>
          <w:tcPr>
            <w:tcW w:type="dxa" w:w="2880"/>
          </w:tcPr>
          <w:p>
            <w:r>
              <w:t>Oral Bioavailability</w:t>
            </w:r>
          </w:p>
        </w:tc>
        <w:tc>
          <w:tcPr>
            <w:tcW w:type="dxa" w:w="2880"/>
          </w:tcPr>
          <w:p>
            <w:r>
              <w:t>94%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hERG Risk</w:t>
            </w:r>
          </w:p>
        </w:tc>
        <w:tc>
          <w:tcPr>
            <w:tcW w:type="dxa" w:w="2880"/>
          </w:tcPr>
          <w:p>
            <w:r>
              <w:t>12%</w:t>
            </w:r>
          </w:p>
        </w:tc>
        <w:tc>
          <w:tcPr>
            <w:tcW w:type="dxa" w:w="2880"/>
          </w:tcPr>
          <w:p>
            <w:r>
              <w:t>Low cardiac risk</w:t>
            </w:r>
          </w:p>
        </w:tc>
      </w:tr>
      <w:tr>
        <w:tc>
          <w:tcPr>
            <w:tcW w:type="dxa" w:w="2880"/>
          </w:tcPr>
          <w:p>
            <w:r>
              <w:t>AMES Mutagenicity</w:t>
            </w:r>
          </w:p>
        </w:tc>
        <w:tc>
          <w:tcPr>
            <w:tcW w:type="dxa" w:w="2880"/>
          </w:tcPr>
          <w:p>
            <w:r>
              <w:t>55%</w:t>
            </w:r>
          </w:p>
        </w:tc>
        <w:tc>
          <w:tcPr>
            <w:tcW w:type="dxa" w:w="2880"/>
          </w:tcPr>
          <w:p>
            <w:r>
              <w:t>CAUTION — borderline</w:t>
            </w:r>
          </w:p>
        </w:tc>
      </w:tr>
      <w:tr>
        <w:tc>
          <w:tcPr>
            <w:tcW w:type="dxa" w:w="2880"/>
          </w:tcPr>
          <w:p>
            <w:r>
              <w:t>ClinTox</w:t>
            </w:r>
          </w:p>
        </w:tc>
        <w:tc>
          <w:tcPr>
            <w:tcW w:type="dxa" w:w="2880"/>
          </w:tcPr>
          <w:p>
            <w:r>
              <w:t>2%</w:t>
            </w:r>
          </w:p>
        </w:tc>
        <w:tc>
          <w:tcPr>
            <w:tcW w:type="dxa" w:w="2880"/>
          </w:tcPr>
          <w:p>
            <w:r>
              <w:t>Very low</w:t>
            </w:r>
          </w:p>
        </w:tc>
      </w:tr>
      <w:tr>
        <w:tc>
          <w:tcPr>
            <w:tcW w:type="dxa" w:w="2880"/>
          </w:tcPr>
          <w:p>
            <w:r>
              <w:t>DILI (Liver)</w:t>
            </w:r>
          </w:p>
        </w:tc>
        <w:tc>
          <w:tcPr>
            <w:tcW w:type="dxa" w:w="2880"/>
          </w:tcPr>
          <w:p>
            <w:r>
              <w:t>62%</w:t>
            </w:r>
          </w:p>
        </w:tc>
        <w:tc>
          <w:tcPr>
            <w:tcW w:type="dxa" w:w="2880"/>
          </w:tcPr>
          <w:p>
            <w:r>
              <w:t>Moderate — known</w:t>
            </w:r>
          </w:p>
        </w:tc>
      </w:tr>
      <w:tr>
        <w:tc>
          <w:tcPr>
            <w:tcW w:type="dxa" w:w="2880"/>
          </w:tcPr>
          <w:p>
            <w:r>
              <w:t>Half-life</w:t>
            </w:r>
          </w:p>
        </w:tc>
        <w:tc>
          <w:tcPr>
            <w:tcW w:type="dxa" w:w="2880"/>
          </w:tcPr>
          <w:p>
            <w:r>
              <w:t>19h</w:t>
            </w:r>
          </w:p>
        </w:tc>
        <w:tc>
          <w:tcPr>
            <w:tcW w:type="dxa" w:w="2880"/>
          </w:tcPr>
          <w:p>
            <w:r>
              <w:t>Once-daily dosing</w:t>
            </w:r>
          </w:p>
        </w:tc>
      </w:tr>
      <w:tr>
        <w:tc>
          <w:tcPr>
            <w:tcW w:type="dxa" w:w="2880"/>
          </w:tcPr>
          <w:p>
            <w:r>
              <w:t>Solubility</w:t>
            </w:r>
          </w:p>
        </w:tc>
        <w:tc>
          <w:tcPr>
            <w:tcW w:type="dxa" w:w="2880"/>
          </w:tcPr>
          <w:p>
            <w:r>
              <w:t>73%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</w:tbl>
    <w:p>
      <w:pPr>
        <w:pStyle w:val="Heading1"/>
      </w:pPr>
      <w:r>
        <w:t>Data Availability (Open Access)</w:t>
      </w:r>
    </w:p>
    <w:p>
      <w:r>
        <w:t>GitHub: https://github.com/Bryzant-Labs/sma-research/tree/main/4-AP-Campaign</w:t>
      </w:r>
    </w:p>
    <w:p>
      <w:r>
        <w:t>Platform: https://sma-research.info</w:t>
      </w:r>
    </w:p>
    <w:p>
      <w:r>
        <w:t>Trajectories (37 GB): Dropbox shared folder — christian@bryzant.com</w:t>
      </w:r>
    </w:p>
    <w:p>
      <w:pPr>
        <w:pStyle w:val="Heading1"/>
      </w:pPr>
      <w:r>
        <w:t>Proposed Experimental Validation</w:t>
      </w:r>
    </w:p>
    <w:p>
      <w:pPr>
        <w:pStyle w:val="ListNumber"/>
      </w:pPr>
      <w:r>
        <w:t>SPR binding assay: 4-AP vs recombinant CORO1C — measure KD</w:t>
      </w:r>
    </w:p>
    <w:p>
      <w:pPr>
        <w:pStyle w:val="ListNumber"/>
      </w:pPr>
      <w:r>
        <w:t>iPSC-derived SMA motor neurons: 4-AP effect on survival &amp; actin dynamics</w:t>
      </w:r>
    </w:p>
    <w:p>
      <w:pPr>
        <w:pStyle w:val="ListNumber"/>
      </w:pPr>
      <w:r>
        <w:t>SMNΔ7 mouse model: 4-AP + Risdiplam combination</w:t>
      </w:r>
    </w:p>
    <w:p>
      <w:pPr>
        <w:pStyle w:val="ListNumber"/>
      </w:pPr>
      <w:r>
        <w:t>Proteomics: CORO1C, PLS3, CFL2 levels in 4-AP-treated SMA fibroblasts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