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  <w:sz w:val="32"/>
        </w:rPr>
        <w:t>4-Aminopyridine (4-AP) — Complete Computational Campaign</w:t>
      </w:r>
    </w:p>
    <w:p>
      <w:pPr>
        <w:pStyle w:val="Subtitle"/>
      </w:pPr>
      <w:r>
        <w:t>18 GPU tasks | 5 SMA targets | 3 pathways | FDA-approved drug</w:t>
      </w:r>
    </w:p>
    <w:p>
      <w:r>
        <w:t>Christian Fischer | Bryzant Labs | April 2026</w:t>
      </w:r>
    </w:p>
    <w:p>
      <w:pPr>
        <w:pStyle w:val="Heading1"/>
      </w:pPr>
      <w:r>
        <w:t>Executive Summary</w:t>
      </w:r>
    </w:p>
    <w:p>
      <w:r>
        <w:t>4-AP (Fampridine/Dalfampridine), an FDA-approved MS drug, binds 5 SMA targets simultaneously. The strongest hit is CORO1C (+0.251) — a novel SMA modifier with zero prior drug screening publications. As an oral, BBB-penetrant, $2K/year drug, it represents a compelling repositioning candidate.</w:t>
      </w:r>
    </w:p>
    <w:p>
      <w:pPr>
        <w:pStyle w:val="Heading1"/>
      </w:pPr>
      <w:r>
        <w:t>Campaign Overview: 18 GPU 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Tools</w:t>
            </w:r>
          </w:p>
        </w:tc>
      </w:tr>
      <w:tr>
        <w:tc>
          <w:tcPr>
            <w:tcW w:type="dxa" w:w="2880"/>
          </w:tcPr>
          <w:p>
            <w:r>
              <w:t>Molecular Docking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DiffDock v2.2 NIM + Local</w:t>
            </w:r>
          </w:p>
        </w:tc>
      </w:tr>
      <w:tr>
        <w:tc>
          <w:tcPr>
            <w:tcW w:type="dxa" w:w="2880"/>
          </w:tcPr>
          <w:p>
            <w:r>
              <w:t>MD Simulations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OpenMM 8.2 CUDA</w:t>
            </w:r>
          </w:p>
        </w:tc>
      </w:tr>
      <w:tr>
        <w:tc>
          <w:tcPr>
            <w:tcW w:type="dxa" w:w="2880"/>
          </w:tcPr>
          <w:p>
            <w:r>
              <w:t>Free Energy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OpenMM FEP</w:t>
            </w:r>
          </w:p>
        </w:tc>
      </w:tr>
      <w:tr>
        <w:tc>
          <w:tcPr>
            <w:tcW w:type="dxa" w:w="2880"/>
          </w:tcPr>
          <w:p>
            <w:r>
              <w:t>Steered MD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OpenMM SMD</w:t>
            </w:r>
          </w:p>
        </w:tc>
      </w:tr>
      <w:tr>
        <w:tc>
          <w:tcPr>
            <w:tcW w:type="dxa" w:w="2880"/>
          </w:tcPr>
          <w:p>
            <w:r>
              <w:t>Molecule Design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GenMol, MolMIM</w:t>
            </w:r>
          </w:p>
        </w:tc>
      </w:tr>
      <w:tr>
        <w:tc>
          <w:tcPr>
            <w:tcW w:type="dxa" w:w="2880"/>
          </w:tcPr>
          <w:p>
            <w:r>
              <w:t>Safety Profiling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ADMET-AI (TDC)</w:t>
            </w:r>
          </w:p>
        </w:tc>
      </w:tr>
    </w:tbl>
    <w:p>
      <w:pPr>
        <w:pStyle w:val="Heading1"/>
      </w:pPr>
      <w:r>
        <w:t>Key Figures</w:t>
      </w:r>
    </w:p>
    <w:p>
      <w:r>
        <w:drawing>
          <wp:inline xmlns:a="http://schemas.openxmlformats.org/drawingml/2006/main" xmlns:pic="http://schemas.openxmlformats.org/drawingml/2006/picture">
            <wp:extent cx="5029200" cy="3646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iffdock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46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DiffDock v2.2 confidence heatmap — 7 compounds × 7 SMA targets. 4-AP → CORO1C highlighted as #1 hit.</w:t>
      </w:r>
    </w:p>
    <w:p>
      <w:r>
        <w:drawing>
          <wp:inline xmlns:a="http://schemas.openxmlformats.org/drawingml/2006/main" xmlns:pic="http://schemas.openxmlformats.org/drawingml/2006/picture">
            <wp:extent cx="5029200" cy="15612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nerg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1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MD energy profiles — SMD (unbinding), FEP (free energy), Kv1.2 (positive control).</w:t>
      </w:r>
    </w:p>
    <w:p>
      <w:r>
        <w:drawing>
          <wp:inline xmlns:a="http://schemas.openxmlformats.org/drawingml/2006/main" xmlns:pic="http://schemas.openxmlformats.org/drawingml/2006/picture">
            <wp:extent cx="5029200" cy="5123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dmet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23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ADMET safety radar — BBB penetration 79%, oral bioavailability 94%, low cardiac risk.</w:t>
      </w:r>
    </w:p>
    <w:p>
      <w:r>
        <w:drawing>
          <wp:inline xmlns:a="http://schemas.openxmlformats.org/drawingml/2006/main" xmlns:pic="http://schemas.openxmlformats.org/drawingml/2006/picture">
            <wp:extent cx="5029200" cy="28536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ultitarget_pathw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3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Multi-target pathway — 4-AP engages 5 targets across 3 distinct SMA pathways.</w:t>
      </w:r>
    </w:p>
    <w:p>
      <w:r>
        <w:drawing>
          <wp:inline xmlns:a="http://schemas.openxmlformats.org/drawingml/2006/main" xmlns:pic="http://schemas.openxmlformats.org/drawingml/2006/picture">
            <wp:extent cx="5029200" cy="15612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md_unbi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1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SMD unbinding comparison — energy change during ligand extraction from CORO1C vs Kv1.2.</w:t>
      </w:r>
    </w:p>
    <w:p>
      <w:r>
        <w:drawing>
          <wp:inline xmlns:a="http://schemas.openxmlformats.org/drawingml/2006/main" xmlns:pic="http://schemas.openxmlformats.org/drawingml/2006/picture">
            <wp:extent cx="5029200" cy="29634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ost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Treatment cost comparison — 4-AP at $2K/year vs $340K-$2.1M for current SMA therapies.</w:t>
      </w:r>
    </w:p>
    <w:p>
      <w:pPr>
        <w:pStyle w:val="Heading1"/>
      </w:pPr>
      <w:r>
        <w:t>Data Links</w:t>
      </w:r>
    </w:p>
    <w:p>
      <w:r>
        <w:t>All data open access: https://github.com/Bryzant-Labs/sma-research/tree/main/4-AP-Campaign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