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jc w:val="center"/>
        <w:rPr>
          <w:spacing w:val="0"/>
        </w:rPr>
      </w:pPr>
      <w:r>
        <w:rPr>
          <w:rFonts w:ascii="MS Mincho" w:hAnsi="MS Mincho" w:hint="eastAsia"/>
          <w:sz w:val="26"/>
        </w:rPr>
        <w:t>研　究　業　績　（　論　文　目　録　）</w:t>
      </w:r>
    </w:p>
    <w:p>
      <w:pPr>
        <w:pStyle w:val="Style13"/>
        <w:spacing w:lineRule="exact" w:line="105"/>
        <w:rPr>
          <w:spacing w:val="0"/>
        </w:rPr>
      </w:pPr>
      <w:r>
        <w:rPr>
          <w:spacing w:val="0"/>
        </w:rPr>
      </w:r>
    </w:p>
    <w:tbl>
      <w:tblPr>
        <w:tblW w:w="9938" w:type="dxa"/>
        <w:jc w:val="start"/>
        <w:tblInd w:w="119" w:type="dxa"/>
        <w:tblLayout w:type="fixed"/>
        <w:tblCellMar>
          <w:top w:w="0" w:type="dxa"/>
          <w:start w:w="13" w:type="dxa"/>
          <w:bottom w:w="0" w:type="dxa"/>
          <w:end w:w="13" w:type="dxa"/>
        </w:tblCellMar>
        <w:tblLook w:firstRow="0" w:noVBand="0" w:lastRow="0" w:firstColumn="0" w:lastColumn="0" w:noHBand="0" w:val="0000"/>
      </w:tblPr>
      <w:tblGrid>
        <w:gridCol w:w="2862"/>
        <w:gridCol w:w="636"/>
        <w:gridCol w:w="911"/>
        <w:gridCol w:w="2054"/>
        <w:gridCol w:w="3475"/>
      </w:tblGrid>
      <w:tr>
        <w:trPr>
          <w:trHeight w:val="750" w:hRule="atLeast"/>
        </w:trPr>
        <w:tc>
          <w:tcPr>
            <w:tcW w:w="2862" w:type="dxa"/>
            <w:tcBorders>
              <w:top w:val="single" w:sz="6" w:space="0" w:color="000000"/>
              <w:start w:val="single" w:sz="6" w:space="0" w:color="000000"/>
              <w:bottom w:val="single" w:sz="6" w:space="0" w:color="000000"/>
              <w:end w:val="single" w:sz="6" w:space="0" w:color="000000"/>
            </w:tcBorders>
            <w:vAlign w:val="center"/>
          </w:tcPr>
          <w:p>
            <w:pPr>
              <w:pStyle w:val="Style13"/>
              <w:spacing w:lineRule="auto" w:line="240"/>
              <w:jc w:val="center"/>
              <w:rPr/>
            </w:pPr>
            <w:r>
              <w:rPr>
                <w:rFonts w:ascii="MS Mincho" w:hAnsi="MS Mincho" w:hint="eastAsia"/>
              </w:rPr>
              <w:t>著書，研究論文等の名称</w:t>
            </w:r>
          </w:p>
        </w:tc>
        <w:tc>
          <w:tcPr>
            <w:tcW w:w="636" w:type="dxa"/>
            <w:tcBorders>
              <w:top w:val="single" w:sz="6" w:space="0" w:color="000000"/>
              <w:bottom w:val="single" w:sz="6" w:space="0" w:color="000000"/>
              <w:end w:val="single" w:sz="6" w:space="0" w:color="000000"/>
            </w:tcBorders>
            <w:vAlign w:val="center"/>
          </w:tcPr>
          <w:p>
            <w:pPr>
              <w:pStyle w:val="Style13"/>
              <w:spacing w:lineRule="auto" w:line="240" w:before="242" w:after="0"/>
              <w:jc w:val="center"/>
              <w:rPr/>
            </w:pPr>
            <w:r>
              <w:rPr>
                <w:rFonts w:ascii="MS Mincho" w:hAnsi="MS Mincho" w:hint="eastAsia"/>
              </w:rPr>
              <w:t>単著</w:t>
            </w:r>
          </w:p>
          <w:p>
            <w:pPr>
              <w:pStyle w:val="Style13"/>
              <w:spacing w:lineRule="auto" w:line="240"/>
              <w:jc w:val="center"/>
              <w:rPr/>
            </w:pPr>
            <w:r>
              <w:rPr>
                <w:rFonts w:ascii="MS Mincho" w:hAnsi="MS Mincho" w:hint="eastAsia"/>
              </w:rPr>
              <w:t>共著</w:t>
            </w:r>
          </w:p>
          <w:p>
            <w:pPr>
              <w:pStyle w:val="Style13"/>
              <w:spacing w:lineRule="auto" w:line="240"/>
              <w:jc w:val="center"/>
              <w:rPr/>
            </w:pPr>
            <w:r>
              <w:rPr>
                <w:rFonts w:ascii="MS Mincho" w:hAnsi="MS Mincho" w:hint="eastAsia"/>
              </w:rPr>
              <w:t>の別</w:t>
            </w:r>
          </w:p>
        </w:tc>
        <w:tc>
          <w:tcPr>
            <w:tcW w:w="911" w:type="dxa"/>
            <w:tcBorders>
              <w:top w:val="single" w:sz="6" w:space="0" w:color="000000"/>
              <w:bottom w:val="single" w:sz="6" w:space="0" w:color="000000"/>
              <w:end w:val="single" w:sz="6" w:space="0" w:color="000000"/>
            </w:tcBorders>
            <w:vAlign w:val="center"/>
          </w:tcPr>
          <w:p>
            <w:pPr>
              <w:pStyle w:val="Style13"/>
              <w:spacing w:lineRule="auto" w:line="240" w:before="242" w:after="0"/>
              <w:jc w:val="center"/>
              <w:rPr>
                <w:rFonts w:ascii="MS Mincho" w:hAnsi="MS Mincho" w:hint="eastAsia"/>
              </w:rPr>
            </w:pPr>
            <w:r>
              <w:rPr>
                <w:rFonts w:ascii="MS Mincho" w:hAnsi="MS Mincho" w:hint="eastAsia"/>
              </w:rPr>
              <w:t>発行又は発表</w:t>
            </w:r>
          </w:p>
          <w:p>
            <w:pPr>
              <w:pStyle w:val="Style13"/>
              <w:spacing w:lineRule="auto" w:line="240"/>
              <w:jc w:val="center"/>
              <w:rPr/>
            </w:pPr>
            <w:r>
              <w:rPr>
                <w:spacing w:val="0"/>
              </w:rPr>
              <w:t xml:space="preserve"> </w:t>
            </w:r>
            <w:r>
              <w:rPr>
                <w:rFonts w:ascii="MS Mincho" w:hAnsi="MS Mincho" w:hint="eastAsia"/>
              </w:rPr>
              <w:t>の年月</w:t>
            </w:r>
          </w:p>
        </w:tc>
        <w:tc>
          <w:tcPr>
            <w:tcW w:w="2054" w:type="dxa"/>
            <w:tcBorders>
              <w:top w:val="single" w:sz="6" w:space="0" w:color="000000"/>
              <w:bottom w:val="single" w:sz="6" w:space="0" w:color="000000"/>
              <w:end w:val="single" w:sz="6" w:space="0" w:color="000000"/>
            </w:tcBorders>
            <w:vAlign w:val="center"/>
          </w:tcPr>
          <w:p>
            <w:pPr>
              <w:pStyle w:val="Style13"/>
              <w:spacing w:lineRule="auto" w:line="240" w:before="242" w:after="0"/>
              <w:jc w:val="center"/>
              <w:rPr/>
            </w:pPr>
            <w:r>
              <w:rPr>
                <w:rFonts w:ascii="MS Mincho" w:hAnsi="MS Mincho" w:hint="eastAsia"/>
              </w:rPr>
              <w:t>発行所，発表雑誌</w:t>
            </w:r>
          </w:p>
          <w:p>
            <w:pPr>
              <w:pStyle w:val="Style13"/>
              <w:spacing w:lineRule="auto" w:line="240"/>
              <w:jc w:val="center"/>
              <w:rPr/>
            </w:pPr>
            <w:r>
              <w:rPr>
                <w:spacing w:val="0"/>
              </w:rPr>
              <w:t xml:space="preserve"> </w:t>
            </w:r>
            <w:r>
              <w:rPr>
                <w:rFonts w:ascii="MS Mincho" w:hAnsi="MS Mincho" w:hint="eastAsia"/>
              </w:rPr>
              <w:t>等又は発表学会等</w:t>
            </w:r>
          </w:p>
          <w:p>
            <w:pPr>
              <w:pStyle w:val="Style13"/>
              <w:spacing w:lineRule="auto" w:line="240"/>
              <w:jc w:val="center"/>
              <w:rPr/>
            </w:pPr>
            <w:r>
              <w:rPr>
                <w:spacing w:val="0"/>
              </w:rPr>
              <w:t xml:space="preserve"> </w:t>
            </w:r>
            <w:r>
              <w:rPr>
                <w:rFonts w:ascii="MS Mincho" w:hAnsi="MS Mincho" w:hint="eastAsia"/>
              </w:rPr>
              <w:t>の名称</w:t>
            </w:r>
          </w:p>
        </w:tc>
        <w:tc>
          <w:tcPr>
            <w:tcW w:w="3475" w:type="dxa"/>
            <w:tcBorders>
              <w:top w:val="single" w:sz="6" w:space="0" w:color="000000"/>
              <w:bottom w:val="single" w:sz="6" w:space="0" w:color="000000"/>
              <w:end w:val="single" w:sz="6" w:space="0" w:color="000000"/>
            </w:tcBorders>
            <w:vAlign w:val="center"/>
          </w:tcPr>
          <w:p>
            <w:pPr>
              <w:pStyle w:val="Style13"/>
              <w:spacing w:lineRule="auto" w:line="240"/>
              <w:jc w:val="center"/>
              <w:rPr/>
            </w:pPr>
            <w:r>
              <w:rPr>
                <w:rFonts w:ascii="MS Mincho" w:hAnsi="MS Mincho" w:hint="eastAsia"/>
              </w:rPr>
              <w:t>概　　　　　要</w:t>
            </w:r>
          </w:p>
        </w:tc>
      </w:tr>
      <w:tr>
        <w:trPr>
          <w:trHeight w:val="376" w:hRule="atLeast"/>
        </w:trPr>
        <w:tc>
          <w:tcPr>
            <w:tcW w:w="9938" w:type="dxa"/>
            <w:gridSpan w:val="5"/>
            <w:tcBorders>
              <w:start w:val="single" w:sz="6" w:space="0" w:color="000000"/>
              <w:bottom w:val="single" w:sz="6" w:space="0" w:color="000000"/>
              <w:end w:val="single" w:sz="6" w:space="0" w:color="000000"/>
            </w:tcBorders>
          </w:tcPr>
          <w:p>
            <w:pPr>
              <w:pStyle w:val="Normal"/>
              <w:jc w:val="center"/>
              <w:rPr/>
            </w:pPr>
            <w:r>
              <w:rPr>
                <w:rFonts w:ascii="MS Mincho" w:hAnsi="MS Mincho" w:hint="eastAsia"/>
                <w:sz w:val="22"/>
              </w:rPr>
              <w:t>研究論文</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pacing w:val="0"/>
                <w:sz w:val="18"/>
                <w:szCs w:val="18"/>
                <w:lang w:val="es-MX"/>
              </w:rPr>
            </w:pPr>
            <w:r>
              <w:rPr>
                <w:rFonts w:eastAsia="Century"/>
                <w:spacing w:val="0"/>
                <w:sz w:val="18"/>
                <w:szCs w:val="18"/>
                <w:lang w:val="es-MX"/>
              </w:rPr>
              <w:t>1.Vegetables, Enemies and Emergence: A Playable Game of Life on Nintendo for Educational Purposes</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pacing w:val="0"/>
                <w:sz w:val="18"/>
                <w:szCs w:val="18"/>
                <w:lang w:val="es-MX"/>
              </w:rPr>
            </w:pPr>
            <w:r>
              <w:rPr>
                <w:rFonts w:eastAsia="Century"/>
                <w:spacing w:val="0"/>
                <w:sz w:val="18"/>
                <w:szCs w:val="18"/>
                <w:lang w:val="es-MX"/>
              </w:rPr>
              <w:t>2026.1</w:t>
            </w:r>
          </w:p>
        </w:tc>
        <w:tc>
          <w:tcPr>
            <w:tcW w:w="2054" w:type="dxa"/>
            <w:tcBorders>
              <w:bottom w:val="single" w:sz="6" w:space="0" w:color="000000"/>
              <w:end w:val="single" w:sz="6" w:space="0" w:color="000000"/>
            </w:tcBorders>
            <w:vAlign w:val="center"/>
          </w:tcPr>
          <w:p>
            <w:pPr>
              <w:pStyle w:val="Style13"/>
              <w:spacing w:lineRule="auto" w:line="240"/>
              <w:jc w:val="start"/>
              <w:rPr>
                <w:rFonts w:ascii="Century" w:hAnsi="Century" w:eastAsia="Century"/>
                <w:spacing w:val="0"/>
                <w:sz w:val="18"/>
                <w:szCs w:val="18"/>
              </w:rPr>
            </w:pPr>
            <w:r>
              <w:rPr>
                <w:rFonts w:eastAsia="Century"/>
                <w:b w:val="false"/>
                <w:i w:val="false"/>
                <w:caps w:val="false"/>
                <w:smallCaps w:val="false"/>
                <w:color w:val="373446"/>
                <w:spacing w:val="0"/>
                <w:sz w:val="18"/>
                <w:szCs w:val="18"/>
              </w:rPr>
              <w:t>Innovation in Machine Intelligence (IMI), vol.5, pp. 1-14, 2025. DOI: 10.54854/imi2025.01</w:t>
            </w:r>
            <w:r>
              <w:rPr>
                <w:rFonts w:eastAsia="Century"/>
                <w:spacing w:val="0"/>
                <w:sz w:val="18"/>
                <w:szCs w:val="18"/>
              </w:rPr>
              <w:t xml:space="preserve"> </w:t>
            </w:r>
          </w:p>
        </w:tc>
        <w:tc>
          <w:tcPr>
            <w:tcW w:w="3475" w:type="dxa"/>
            <w:tcBorders>
              <w:bottom w:val="single" w:sz="6" w:space="0" w:color="000000"/>
              <w:end w:val="single" w:sz="6" w:space="0" w:color="000000"/>
            </w:tcBorders>
          </w:tcPr>
          <w:p>
            <w:pPr>
              <w:pStyle w:val="Style13"/>
              <w:spacing w:lineRule="auto" w:line="240"/>
              <w:rPr>
                <w:rFonts w:ascii="Century" w:hAnsi="Century" w:eastAsia="Century"/>
                <w:color w:val="000000"/>
                <w:spacing w:val="0"/>
                <w:sz w:val="18"/>
                <w:szCs w:val="18"/>
                <w:lang w:val="es-MX"/>
              </w:rPr>
            </w:pPr>
            <w:r>
              <w:rPr>
                <w:rFonts w:eastAsia="Century"/>
                <w:color w:val="000000"/>
                <w:spacing w:val="0"/>
                <w:sz w:val="18"/>
                <w:szCs w:val="18"/>
                <w:lang w:val="es-MX"/>
              </w:rPr>
              <w:t>This paper presents a playable and educational implementation of Conway's Game of Life for the 8-bit Nintendo Entertainment System (NES). While past NES attempts were limited non-interactive demos due to hardware constraints, this project gamifies the cellular automaton using 8-bit assets like "vegetables" and "enemies". The study details technical optimizations for real-time generation and highlights the software as a pedagogical tool for teaching computer science and mathematics (</w:t>
            </w:r>
            <w:r>
              <w:rPr>
                <w:rFonts w:eastAsia="Century"/>
                <w:color w:val="000000"/>
                <w:spacing w:val="0"/>
                <w:sz w:val="18"/>
                <w:szCs w:val="18"/>
                <w:shd w:fill="FFFFFF" w:val="clear"/>
                <w:lang w:val="es-MX"/>
              </w:rPr>
              <w:t>Bruno Senzio Savino and Faramarz Alsharif)</w:t>
            </w:r>
            <w:r>
              <w:rPr>
                <w:rFonts w:eastAsia="Century"/>
                <w:color w:val="000000"/>
                <w:spacing w:val="0"/>
                <w:sz w:val="18"/>
                <w:szCs w:val="18"/>
                <w:lang w:val="es-MX"/>
              </w:rPr>
              <w:t xml:space="preserve"> </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rPr>
            </w:pPr>
            <w:r>
              <w:rPr>
                <w:rFonts w:eastAsia="Century"/>
                <w:sz w:val="18"/>
                <w:szCs w:val="18"/>
              </w:rPr>
              <w:t>2.</w:t>
            </w:r>
            <w:r>
              <w:rPr>
                <w:rFonts w:eastAsia="Century"/>
                <w:bCs/>
                <w:color w:val="000000"/>
                <w:sz w:val="18"/>
                <w:szCs w:val="18"/>
              </w:rPr>
              <w:t xml:space="preserve"> </w:t>
            </w:r>
            <w:r>
              <w:rPr>
                <w:rFonts w:eastAsia="Century" w:cs="NimbusRomNo9L-Medi"/>
                <w:sz w:val="18"/>
                <w:szCs w:val="18"/>
                <w:lang w:val="es-MX"/>
              </w:rPr>
              <w:t>BrainWave Processing Modular System</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2017.3</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Autospacing="1"/>
              <w:jc w:val="start"/>
              <w:textAlignment w:val="auto"/>
              <w:rPr>
                <w:rFonts w:ascii="Century" w:hAnsi="Century" w:eastAsia="Century"/>
                <w:sz w:val="18"/>
                <w:szCs w:val="18"/>
              </w:rPr>
            </w:pPr>
            <w:r>
              <w:rPr>
                <w:rFonts w:eastAsia="Century"/>
                <w:kern w:val="0"/>
                <w:sz w:val="18"/>
                <w:szCs w:val="18"/>
              </w:rPr>
              <w:t>Master Degree Thesis</w:t>
            </w:r>
          </w:p>
          <w:p>
            <w:pPr>
              <w:pStyle w:val="Style13"/>
              <w:spacing w:lineRule="auto" w:line="240"/>
              <w:jc w:val="start"/>
              <w:rPr>
                <w:rFonts w:ascii="Century" w:hAnsi="Century" w:eastAsia="Century"/>
                <w:spacing w:val="0"/>
                <w:sz w:val="18"/>
                <w:szCs w:val="18"/>
              </w:rPr>
            </w:pPr>
            <w:r>
              <w:rPr>
                <w:rFonts w:eastAsia="Century"/>
                <w:spacing w:val="0"/>
                <w:sz w:val="18"/>
                <w:szCs w:val="18"/>
              </w:rPr>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research develops hardware and software tools to enhance low-cost commercial BCI device integration. Experiments with signal feature extraction and machine learning achieved up to 80% recognition with supervised methods and efficient parallel processing, enabling real-world applications in multi-user environments and home automation.</w:t>
            </w:r>
            <w:r>
              <w:rPr>
                <w:rFonts w:eastAsia="Century" w:ascii="Century" w:hAnsi="Century"/>
                <w:sz w:val="18"/>
                <w:szCs w:val="18"/>
              </w:rPr>
              <w:t>(</w:t>
            </w:r>
            <w:r>
              <w:rPr>
                <w:rFonts w:eastAsia="Century" w:ascii="Century" w:hAnsi="Century"/>
                <w:sz w:val="18"/>
                <w:szCs w:val="18"/>
                <w:shd w:fill="FFFFFF" w:val="clear"/>
              </w:rPr>
              <w:t>Bruno Senzio Savino)</w:t>
            </w:r>
          </w:p>
        </w:tc>
      </w:tr>
      <w:tr>
        <w:trPr>
          <w:trHeight w:val="65"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rPr>
            </w:pPr>
            <w:r>
              <w:rPr>
                <w:rFonts w:eastAsia="Century"/>
                <w:sz w:val="18"/>
                <w:szCs w:val="18"/>
              </w:rPr>
              <w:t>3.</w:t>
            </w:r>
            <w:r>
              <w:rPr>
                <w:rFonts w:eastAsia="Century"/>
                <w:bCs/>
                <w:color w:val="000000"/>
                <w:sz w:val="18"/>
                <w:szCs w:val="18"/>
              </w:rPr>
              <w:t xml:space="preserve"> </w:t>
            </w:r>
            <w:r>
              <w:rPr>
                <w:rFonts w:eastAsia="Century" w:cs="Arial"/>
                <w:sz w:val="18"/>
                <w:szCs w:val="18"/>
                <w:shd w:fill="FFFFFF" w:val="clear"/>
              </w:rPr>
              <w:t>Implementation of a Cloud Processing Based Voice Communication and Noise Reduction Embedded System Network</w:t>
            </w:r>
            <w:r>
              <w:rPr>
                <w:rFonts w:eastAsia="Century"/>
                <w:sz w:val="18"/>
                <w:szCs w:val="18"/>
              </w:rPr>
              <w:t xml:space="preserve"> </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2017.2</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Autospacing="1"/>
              <w:jc w:val="start"/>
              <w:textAlignment w:val="auto"/>
              <w:rPr>
                <w:rFonts w:ascii="Century" w:hAnsi="Century" w:eastAsia="Century"/>
                <w:kern w:val="0"/>
                <w:sz w:val="18"/>
                <w:szCs w:val="18"/>
              </w:rPr>
            </w:pPr>
            <w:r>
              <w:rPr>
                <w:rFonts w:eastAsia="Century"/>
                <w:kern w:val="0"/>
                <w:sz w:val="18"/>
                <w:szCs w:val="18"/>
              </w:rPr>
              <w:t>3RD INTERNATIONAL CONGRESS ON TECHNOLOGY - ENGINEERING &amp; SCIENCE</w:t>
            </w:r>
          </w:p>
          <w:p>
            <w:pPr>
              <w:pStyle w:val="Normal"/>
              <w:spacing w:lineRule="auto" w:line="240"/>
              <w:jc w:val="start"/>
              <w:rPr>
                <w:rFonts w:ascii="Century" w:hAnsi="Century" w:eastAsia="Century"/>
                <w:sz w:val="18"/>
                <w:szCs w:val="18"/>
              </w:rPr>
            </w:pPr>
            <w:r>
              <w:rPr>
                <w:rFonts w:eastAsia="Century"/>
                <w:sz w:val="18"/>
                <w:szCs w:val="18"/>
              </w:rPr>
            </w:r>
          </w:p>
        </w:tc>
        <w:tc>
          <w:tcPr>
            <w:tcW w:w="3475" w:type="dxa"/>
            <w:tcBorders>
              <w:bottom w:val="single" w:sz="6" w:space="0" w:color="000000"/>
              <w:end w:val="single" w:sz="6" w:space="0" w:color="000000"/>
            </w:tcBorders>
          </w:tcPr>
          <w:p>
            <w:pPr>
              <w:pStyle w:val="Normal"/>
              <w:rPr>
                <w:rFonts w:ascii="Century" w:hAnsi="Century" w:eastAsia="Century"/>
                <w:sz w:val="18"/>
                <w:szCs w:val="18"/>
              </w:rPr>
            </w:pPr>
            <w:r>
              <w:rPr>
                <w:rFonts w:eastAsia="Century"/>
                <w:sz w:val="18"/>
                <w:szCs w:val="18"/>
              </w:rPr>
              <w:t>This paper introduces a remote audio processing network using low-cost 8-bit microcontroller nodes connected to an embedded server. Audio is uploaded as wave files, processed locally or via cloud services for noise reduction, enabling a low-cost interphone/broadcast system with potential IoT command recognition applications. (</w:t>
            </w:r>
            <w:r>
              <w:rPr>
                <w:rFonts w:eastAsia="Century"/>
                <w:sz w:val="18"/>
                <w:szCs w:val="18"/>
                <w:shd w:fill="FFFFFF" w:val="clear"/>
              </w:rPr>
              <w:t>Bruno Senzio Savino, Mohammad Reza Alsharif, Yuuki Yabiku</w:t>
            </w:r>
            <w:r>
              <w:rPr>
                <w:rFonts w:eastAsia="Century"/>
                <w:sz w:val="18"/>
                <w:szCs w:val="18"/>
              </w:rPr>
              <w:t>)</w:t>
            </w:r>
          </w:p>
        </w:tc>
      </w:tr>
      <w:tr>
        <w:trPr>
          <w:trHeight w:val="65"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lang w:val="es-MX"/>
              </w:rPr>
            </w:pPr>
            <w:r>
              <w:rPr>
                <w:rFonts w:eastAsia="Century"/>
                <w:sz w:val="18"/>
                <w:szCs w:val="18"/>
                <w:lang w:val="es-MX"/>
              </w:rPr>
            </w:r>
          </w:p>
          <w:p>
            <w:pPr>
              <w:pStyle w:val="Default"/>
              <w:spacing w:lineRule="auto" w:line="240"/>
              <w:jc w:val="start"/>
              <w:rPr>
                <w:rFonts w:ascii="Century" w:hAnsi="Century" w:eastAsia="Century"/>
                <w:sz w:val="18"/>
                <w:szCs w:val="18"/>
              </w:rPr>
            </w:pPr>
            <w:r>
              <w:rPr>
                <w:rFonts w:eastAsia="Century" w:ascii="Century" w:hAnsi="Century"/>
                <w:sz w:val="18"/>
                <w:szCs w:val="18"/>
                <w:lang w:val="en-US"/>
              </w:rPr>
              <w:t xml:space="preserve">3. </w:t>
            </w:r>
            <w:r>
              <w:rPr>
                <w:rFonts w:eastAsia="Century" w:cs="Martel" w:ascii="Century" w:hAnsi="Century"/>
                <w:sz w:val="18"/>
                <w:szCs w:val="18"/>
                <w:lang w:val="en-US"/>
              </w:rPr>
              <w:t>Remote operation of a parabolic motion and free fall experiment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 xml:space="preserve"> </w:t>
            </w:r>
          </w:p>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z w:val="18"/>
                <w:szCs w:val="18"/>
              </w:rPr>
            </w:r>
          </w:p>
          <w:p>
            <w:pPr>
              <w:pStyle w:val="Style13"/>
              <w:spacing w:before="242" w:after="0"/>
              <w:jc w:val="center"/>
              <w:rPr>
                <w:rFonts w:ascii="Century" w:hAnsi="Century" w:eastAsia="Century"/>
                <w:sz w:val="18"/>
                <w:szCs w:val="18"/>
              </w:rPr>
            </w:pPr>
            <w:r>
              <w:rPr>
                <w:rFonts w:eastAsia="Century"/>
                <w:sz w:val="18"/>
                <w:szCs w:val="18"/>
              </w:rPr>
              <w:t>2011.7</w:t>
            </w:r>
          </w:p>
        </w:tc>
        <w:tc>
          <w:tcPr>
            <w:tcW w:w="2054" w:type="dxa"/>
            <w:tcBorders>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r>
          </w:p>
          <w:p>
            <w:pPr>
              <w:pStyle w:val="Normal"/>
              <w:spacing w:lineRule="auto" w:line="240"/>
              <w:jc w:val="start"/>
              <w:rPr>
                <w:rFonts w:ascii="Century" w:hAnsi="Century" w:eastAsia="Century"/>
                <w:sz w:val="18"/>
                <w:szCs w:val="18"/>
              </w:rPr>
            </w:pPr>
            <w:r>
              <w:rPr>
                <w:rFonts w:eastAsia="Century"/>
                <w:sz w:val="18"/>
                <w:szCs w:val="18"/>
              </w:rPr>
            </w:r>
          </w:p>
          <w:p>
            <w:pPr>
              <w:pStyle w:val="Normal"/>
              <w:widowControl/>
              <w:shd w:val="clear" w:color="auto" w:fill="FFFFFF"/>
              <w:spacing w:lineRule="auto" w:line="240" w:beforeAutospacing="1" w:afterAutospacing="1"/>
              <w:jc w:val="start"/>
              <w:textAlignment w:val="auto"/>
              <w:rPr>
                <w:rFonts w:ascii="Century" w:hAnsi="Century" w:eastAsia="Century"/>
                <w:sz w:val="18"/>
                <w:szCs w:val="18"/>
              </w:rPr>
            </w:pPr>
            <w:r>
              <w:rPr>
                <w:rFonts w:eastAsia="Century"/>
                <w:kern w:val="0"/>
                <w:sz w:val="18"/>
                <w:szCs w:val="18"/>
              </w:rPr>
              <w:t>2nd International Conference of Instrumentation and Applied Sciences</w:t>
            </w:r>
          </w:p>
          <w:p>
            <w:pPr>
              <w:pStyle w:val="Style13"/>
              <w:spacing w:lineRule="auto" w:line="240"/>
              <w:jc w:val="start"/>
              <w:rPr>
                <w:rFonts w:ascii="Century" w:hAnsi="Century" w:eastAsia="Century"/>
                <w:spacing w:val="0"/>
                <w:sz w:val="18"/>
                <w:szCs w:val="18"/>
              </w:rPr>
            </w:pPr>
            <w:r>
              <w:rPr>
                <w:rFonts w:eastAsia="Century"/>
                <w:spacing w:val="0"/>
                <w:sz w:val="18"/>
                <w:szCs w:val="18"/>
              </w:rPr>
            </w:r>
          </w:p>
        </w:tc>
        <w:tc>
          <w:tcPr>
            <w:tcW w:w="3475" w:type="dxa"/>
            <w:tcBorders>
              <w:bottom w:val="single" w:sz="6" w:space="0" w:color="000000"/>
              <w:end w:val="single" w:sz="6" w:space="0" w:color="000000"/>
            </w:tcBorders>
          </w:tcPr>
          <w:p>
            <w:pPr>
              <w:pStyle w:val="Normal"/>
              <w:rPr>
                <w:rFonts w:ascii="Century" w:hAnsi="Century" w:eastAsia="Century"/>
                <w:sz w:val="18"/>
                <w:szCs w:val="18"/>
              </w:rPr>
            </w:pPr>
            <w:r>
              <w:rPr>
                <w:rFonts w:eastAsia="Century"/>
                <w:sz w:val="18"/>
                <w:szCs w:val="18"/>
              </w:rPr>
              <w:t>The system integrates a cannon and a releaser, where the cannon’s angle is adjusted to hit a falling target. A microcontroller handles input and output signals via USB for speed and flexibility, while a client–server interface streams live video using open-source software.</w:t>
            </w:r>
            <w:r>
              <w:rPr>
                <w:rFonts w:eastAsia="Century"/>
                <w:color w:val="131314"/>
                <w:sz w:val="18"/>
                <w:szCs w:val="18"/>
                <w:shd w:fill="FFFFFF" w:val="clear"/>
              </w:rPr>
              <w:t xml:space="preserve"> </w:t>
            </w:r>
            <w:r>
              <w:rPr>
                <w:rFonts w:eastAsia="Century"/>
                <w:color w:val="131314"/>
                <w:sz w:val="18"/>
                <w:szCs w:val="18"/>
                <w:shd w:fill="FFFFFF" w:val="clear"/>
                <w:lang w:val="es-MX"/>
              </w:rPr>
              <w:t>(</w:t>
            </w:r>
            <w:r>
              <w:rPr>
                <w:rFonts w:eastAsia="Century" w:cs="Arial"/>
                <w:sz w:val="18"/>
                <w:szCs w:val="18"/>
                <w:shd w:fill="FFFFFF" w:val="clear"/>
                <w:lang w:val="es-MX"/>
              </w:rPr>
              <w:t>B. Senzio-Savino Barzellato, Y. Minami Koyama, U. Peñuelas Rivas)</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 xml:space="preserve">4. </w:t>
            </w:r>
            <w:r>
              <w:rPr>
                <w:rFonts w:eastAsia="Century" w:cs="Arial"/>
                <w:sz w:val="18"/>
                <w:szCs w:val="18"/>
                <w:shd w:fill="FFFFFF" w:val="clear"/>
              </w:rPr>
              <w:t>NON-LINEAR EEG SIGNAL FEATURE EXTRACTION AND HEALTHY OR EPILEPTIC USER SEIZURE DISCRIMINATION BY WEIGHTED FREQUENCY BEHAVIOR ANALYSIS</w:t>
            </w:r>
          </w:p>
          <w:p>
            <w:pPr>
              <w:pStyle w:val="Style13"/>
              <w:spacing w:lineRule="auto" w:line="240" w:before="242" w:after="0"/>
              <w:jc w:val="start"/>
              <w:rPr>
                <w:rFonts w:ascii="Century" w:hAnsi="Century" w:eastAsia="Century"/>
                <w:spacing w:val="0"/>
                <w:sz w:val="18"/>
                <w:szCs w:val="18"/>
              </w:rPr>
            </w:pPr>
            <w:r>
              <w:rPr>
                <w:rFonts w:eastAsia="Century"/>
                <w:spacing w:val="0"/>
                <w:sz w:val="18"/>
                <w:szCs w:val="18"/>
              </w:rPr>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2017.2</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Autospacing="1"/>
              <w:jc w:val="start"/>
              <w:textAlignment w:val="auto"/>
              <w:rPr>
                <w:rFonts w:ascii="Century" w:hAnsi="Century" w:eastAsia="Century"/>
                <w:sz w:val="18"/>
                <w:szCs w:val="18"/>
              </w:rPr>
            </w:pPr>
            <w:r>
              <w:rPr>
                <w:rFonts w:eastAsia="Century"/>
                <w:kern w:val="0"/>
                <w:sz w:val="18"/>
                <w:szCs w:val="18"/>
              </w:rPr>
              <w:t>3RD INTERNATIONAL CONGRESS ON TECHNOLOGY - ENGINEERING &amp; SCIENCE</w:t>
            </w:r>
          </w:p>
          <w:p>
            <w:pPr>
              <w:pStyle w:val="Style13"/>
              <w:spacing w:lineRule="auto" w:line="240"/>
              <w:jc w:val="start"/>
              <w:rPr>
                <w:rFonts w:ascii="Century" w:hAnsi="Century" w:eastAsia="Century"/>
                <w:spacing w:val="0"/>
                <w:sz w:val="18"/>
                <w:szCs w:val="18"/>
              </w:rPr>
            </w:pPr>
            <w:r>
              <w:rPr>
                <w:rFonts w:eastAsia="Century"/>
                <w:spacing w:val="0"/>
                <w:sz w:val="18"/>
                <w:szCs w:val="18"/>
              </w:rPr>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research applies Hilbert–Huang Transform and weighted frequency analysis of Intrinsic Mode Functions to EEG data for seizure detection. Using a linear SVM, recognition rates of 93.3% and 86.7% were achieved on different subsets, enabling efficient low-resource implementation for cloud-based seizure recognition platforms.</w:t>
            </w:r>
          </w:p>
          <w:p>
            <w:pPr>
              <w:pStyle w:val="Normal"/>
              <w:rPr>
                <w:rFonts w:ascii="Century" w:hAnsi="Century" w:eastAsia="Century"/>
                <w:sz w:val="18"/>
                <w:szCs w:val="18"/>
              </w:rPr>
            </w:pPr>
            <w:r>
              <w:rPr>
                <w:rFonts w:eastAsia="Century"/>
                <w:sz w:val="18"/>
                <w:szCs w:val="18"/>
                <w:lang w:val="es-MX"/>
              </w:rPr>
              <w:t>(</w:t>
            </w:r>
            <w:r>
              <w:rPr>
                <w:rFonts w:eastAsia="Century"/>
                <w:sz w:val="18"/>
                <w:szCs w:val="18"/>
                <w:shd w:fill="FFFFFF" w:val="clear"/>
                <w:lang w:val="es-MX"/>
              </w:rPr>
              <w:t>Bruno Senzio Savino, Kyosuke Hirata, Mohammad Reza Alsharif, Kamal Setarehdan</w:t>
            </w:r>
            <w:r>
              <w:rPr>
                <w:rFonts w:eastAsia="Century"/>
                <w:bCs/>
                <w:sz w:val="18"/>
                <w:szCs w:val="18"/>
                <w:lang w:val="es-MX"/>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sz w:val="18"/>
                <w:szCs w:val="18"/>
              </w:rPr>
              <w:t xml:space="preserve">5. </w:t>
            </w:r>
            <w:r>
              <w:rPr>
                <w:rFonts w:eastAsia="Century" w:cs="Arial"/>
                <w:sz w:val="18"/>
                <w:szCs w:val="18"/>
                <w:shd w:fill="FFFFFF" w:val="clear"/>
              </w:rPr>
              <w:t>An Online Synchronous Brain Wave Signal Pattern Classifier with Parallel Processing Optimization for Embedded System Implementation</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2017.2</w:t>
            </w:r>
          </w:p>
        </w:tc>
        <w:tc>
          <w:tcPr>
            <w:tcW w:w="2054" w:type="dxa"/>
            <w:tcBorders>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cs="NimbusRomNo9L-Regu"/>
                <w:kern w:val="0"/>
                <w:sz w:val="18"/>
                <w:szCs w:val="18"/>
              </w:rPr>
              <w:t>International Journal</w:t>
            </w:r>
          </w:p>
          <w:p>
            <w:pPr>
              <w:pStyle w:val="Normal"/>
              <w:widowControl/>
              <w:spacing w:lineRule="auto" w:line="240"/>
              <w:jc w:val="start"/>
              <w:textAlignment w:val="auto"/>
              <w:rPr>
                <w:rFonts w:ascii="Century" w:hAnsi="Century" w:eastAsia="Century"/>
                <w:sz w:val="18"/>
                <w:szCs w:val="18"/>
              </w:rPr>
            </w:pPr>
            <w:r>
              <w:rPr>
                <w:rFonts w:eastAsia="Century" w:cs="NimbusRomNo9L-Regu"/>
                <w:sz w:val="18"/>
                <w:szCs w:val="18"/>
              </w:rPr>
              <w:t>of Advanced Computer Science and Applications(IJACSA), 412-419.</w:t>
            </w:r>
            <w:r>
              <w:rPr>
                <w:rFonts w:eastAsia="Century"/>
                <w:sz w:val="18"/>
                <w:szCs w:val="18"/>
              </w:rPr>
              <w:t xml:space="preserve"> </w:t>
            </w:r>
          </w:p>
        </w:tc>
        <w:tc>
          <w:tcPr>
            <w:tcW w:w="3475" w:type="dxa"/>
            <w:tcBorders>
              <w:bottom w:val="single" w:sz="6" w:space="0" w:color="000000"/>
              <w:end w:val="single" w:sz="6" w:space="0" w:color="000000"/>
            </w:tcBorders>
          </w:tcPr>
          <w:p>
            <w:pPr>
              <w:pStyle w:val="Normal"/>
              <w:widowControl/>
              <w:jc w:val="start"/>
              <w:textAlignment w:val="auto"/>
              <w:rPr>
                <w:rFonts w:ascii="Century" w:hAnsi="Century" w:eastAsia="Century"/>
                <w:sz w:val="18"/>
                <w:szCs w:val="18"/>
              </w:rPr>
            </w:pPr>
            <w:r>
              <w:rPr>
                <w:rFonts w:eastAsia="Century"/>
                <w:sz w:val="18"/>
                <w:szCs w:val="18"/>
              </w:rPr>
              <w:t>This paper presents a methodology for classifying attention and meditation brainwave patterns using batch Self-Organizing Maps (b-SOM) and SVM. Combining clustering with supervised learning achieved a 70% recognition rate, while parallel b-SOM significantly reduced computation time for online applications.</w:t>
            </w:r>
            <w:r>
              <w:rPr>
                <w:rFonts w:eastAsia="Century" w:cs="NimbusRomNo9L-Medi"/>
                <w:kern w:val="0"/>
                <w:sz w:val="18"/>
                <w:szCs w:val="18"/>
              </w:rPr>
              <w:t xml:space="preserve"> </w:t>
            </w:r>
            <w:r>
              <w:rPr>
                <w:rFonts w:eastAsia="Century" w:cs="NimbusRomNo9L-Medi"/>
                <w:kern w:val="0"/>
                <w:sz w:val="18"/>
                <w:szCs w:val="18"/>
                <w:lang w:val="es-MX"/>
              </w:rPr>
              <w:t>Bruno Senzio-Savino</w:t>
            </w:r>
            <w:r>
              <w:rPr>
                <w:rFonts w:eastAsia="Century" w:cs="NimbusRomNo9L-Regu"/>
                <w:kern w:val="0"/>
                <w:sz w:val="18"/>
                <w:szCs w:val="18"/>
                <w:lang w:val="es-MX"/>
              </w:rPr>
              <w:t>, Mohammad Reza Alsharif, Carlos E. Gutierrez and Kamal</w:t>
            </w:r>
          </w:p>
          <w:p>
            <w:pPr>
              <w:pStyle w:val="Normal"/>
              <w:widowControl/>
              <w:jc w:val="start"/>
              <w:textAlignment w:val="auto"/>
              <w:rPr>
                <w:rFonts w:ascii="Century" w:hAnsi="Century" w:eastAsia="Century"/>
                <w:sz w:val="18"/>
                <w:szCs w:val="18"/>
              </w:rPr>
            </w:pPr>
            <w:r>
              <w:rPr>
                <w:rFonts w:eastAsia="Century" w:cs="NimbusRomNo9L-Regu"/>
                <w:sz w:val="18"/>
                <w:szCs w:val="18"/>
                <w:lang w:val="es-MX"/>
              </w:rPr>
              <w:t>Setarehdan</w:t>
            </w:r>
            <w:r>
              <w:rPr>
                <w:rFonts w:eastAsia="Century"/>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6. Brain Wave Pattern Classification: Towards the Design of an Effective Online Classifier</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2016.12</w:t>
            </w:r>
          </w:p>
        </w:tc>
        <w:tc>
          <w:tcPr>
            <w:tcW w:w="2054" w:type="dxa"/>
            <w:tcBorders>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cs="NimbusRomNo9L-Regu"/>
                <w:kern w:val="0"/>
                <w:sz w:val="18"/>
                <w:szCs w:val="18"/>
              </w:rPr>
              <w:t>European</w:t>
            </w:r>
          </w:p>
          <w:p>
            <w:pPr>
              <w:pStyle w:val="Style13"/>
              <w:spacing w:lineRule="auto" w:line="240"/>
              <w:jc w:val="start"/>
              <w:rPr>
                <w:rFonts w:ascii="Century" w:hAnsi="Century" w:eastAsia="Century"/>
                <w:sz w:val="18"/>
                <w:szCs w:val="18"/>
              </w:rPr>
            </w:pPr>
            <w:r>
              <w:rPr>
                <w:rFonts w:eastAsia="Century" w:cs="NimbusRomNo9L-Regu"/>
                <w:sz w:val="18"/>
                <w:szCs w:val="18"/>
              </w:rPr>
              <w:t>Journal of Information Science and Technology (EJIST),18-29.</w:t>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research uses a single-electrode commercial EEG device to classify attention and meditation signals from virtual path-tracing tasks. Feature extraction with supervised learning achieved 80% accuracy, while unsupervised methods reached 60% with ~132 seconds processing time.</w:t>
            </w:r>
          </w:p>
          <w:p>
            <w:pPr>
              <w:pStyle w:val="Normal"/>
              <w:widowControl/>
              <w:jc w:val="start"/>
              <w:textAlignment w:val="auto"/>
              <w:rPr>
                <w:rFonts w:ascii="Century" w:hAnsi="Century" w:eastAsia="Century"/>
                <w:sz w:val="18"/>
                <w:szCs w:val="18"/>
              </w:rPr>
            </w:pPr>
            <w:r>
              <w:rPr>
                <w:rFonts w:eastAsia="Century"/>
                <w:sz w:val="18"/>
                <w:szCs w:val="18"/>
                <w:lang w:val="es-MX"/>
              </w:rPr>
              <w:t>(</w:t>
            </w:r>
            <w:r>
              <w:rPr>
                <w:rFonts w:eastAsia="Century" w:cs="NimbusRomNo9L-Medi"/>
                <w:kern w:val="0"/>
                <w:sz w:val="18"/>
                <w:szCs w:val="18"/>
                <w:lang w:val="es-MX"/>
              </w:rPr>
              <w:t>Bruno Senzio-Savino</w:t>
            </w:r>
            <w:r>
              <w:rPr>
                <w:rFonts w:eastAsia="Century" w:cs="NimbusRomNo9L-Regu"/>
                <w:kern w:val="0"/>
                <w:sz w:val="18"/>
                <w:szCs w:val="18"/>
                <w:lang w:val="es-MX"/>
              </w:rPr>
              <w:t>, Mohammad Reza Alsharif, Carlos E. Gutierrez, Katsumi Yamashita,</w:t>
            </w:r>
          </w:p>
          <w:p>
            <w:pPr>
              <w:pStyle w:val="Normal"/>
              <w:rPr>
                <w:rFonts w:ascii="Century" w:hAnsi="Century" w:eastAsia="Century"/>
                <w:sz w:val="18"/>
                <w:szCs w:val="18"/>
              </w:rPr>
            </w:pPr>
            <w:r>
              <w:rPr>
                <w:rFonts w:eastAsia="Century" w:cs="NimbusRomNo9L-Regu"/>
                <w:sz w:val="18"/>
                <w:szCs w:val="18"/>
                <w:lang w:val="es-MX"/>
              </w:rPr>
              <w:t>Kamal Setarehdan, Mahdi Khosravy and Faramarz Alsharif</w:t>
            </w:r>
            <w:r>
              <w:rPr>
                <w:rFonts w:eastAsia="Century"/>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 xml:space="preserve">7. </w:t>
            </w:r>
            <w:r>
              <w:rPr>
                <w:rFonts w:eastAsia="Century" w:cs="Arial"/>
                <w:color w:val="131314"/>
                <w:sz w:val="18"/>
                <w:szCs w:val="18"/>
                <w:shd w:fill="FFFFFF" w:val="clear"/>
              </w:rPr>
              <w:t>MA</w:t>
            </w:r>
            <w:r>
              <w:rPr>
                <w:rFonts w:ascii="Century" w:hAnsi="Century" w:eastAsia="Century"/>
                <w:sz w:val="18"/>
                <w:szCs w:val="18"/>
              </w:rPr>
              <w:t>とを用いた脳波の注目瞑想信号におけるとによ る特徴の抽出と分</w:t>
            </w:r>
            <w:r>
              <w:rPr>
                <w:rFonts w:ascii="Century" w:hAnsi="Century" w:cs="MS Mincho" w:eastAsia="Century"/>
                <w:sz w:val="18"/>
                <w:szCs w:val="18"/>
              </w:rPr>
              <w:t>類</w:t>
            </w:r>
          </w:p>
          <w:p>
            <w:pPr>
              <w:pStyle w:val="Normal"/>
              <w:spacing w:lineRule="auto" w:line="240"/>
              <w:jc w:val="start"/>
              <w:rPr>
                <w:rFonts w:ascii="Century" w:hAnsi="Century" w:eastAsia="Century"/>
                <w:sz w:val="18"/>
                <w:szCs w:val="18"/>
              </w:rPr>
            </w:pPr>
            <w:r>
              <w:rPr>
                <w:rFonts w:eastAsia="Century"/>
                <w:sz w:val="18"/>
                <w:szCs w:val="18"/>
              </w:rPr>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2016.12</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Autospacing="1"/>
              <w:jc w:val="start"/>
              <w:textAlignment w:val="auto"/>
              <w:rPr>
                <w:rFonts w:ascii="Century" w:hAnsi="Century" w:eastAsia="Century"/>
                <w:sz w:val="18"/>
                <w:szCs w:val="18"/>
              </w:rPr>
            </w:pPr>
            <w:r>
              <w:rPr>
                <w:rFonts w:eastAsia="Century"/>
                <w:color w:val="39393A"/>
                <w:kern w:val="0"/>
                <w:sz w:val="18"/>
                <w:szCs w:val="18"/>
                <w:lang w:val="es-MX"/>
              </w:rPr>
              <w:t>IEEJ 2016</w:t>
            </w:r>
          </w:p>
          <w:p>
            <w:pPr>
              <w:pStyle w:val="Normal"/>
              <w:spacing w:lineRule="auto" w:line="240"/>
              <w:jc w:val="start"/>
              <w:rPr>
                <w:rFonts w:ascii="Century" w:hAnsi="Century" w:eastAsia="Century" w:cs="MS Mincho"/>
                <w:kern w:val="0"/>
                <w:sz w:val="18"/>
                <w:szCs w:val="18"/>
              </w:rPr>
            </w:pPr>
            <w:r>
              <w:rPr>
                <w:rFonts w:eastAsia="Century" w:cs="MS Mincho"/>
                <w:kern w:val="0"/>
                <w:sz w:val="18"/>
                <w:szCs w:val="18"/>
              </w:rPr>
            </w:r>
          </w:p>
        </w:tc>
        <w:tc>
          <w:tcPr>
            <w:tcW w:w="3475" w:type="dxa"/>
            <w:tcBorders>
              <w:bottom w:val="single" w:sz="6" w:space="0" w:color="000000"/>
              <w:end w:val="single" w:sz="6" w:space="0" w:color="000000"/>
            </w:tcBorders>
          </w:tcPr>
          <w:p>
            <w:pPr>
              <w:pStyle w:val="Normal"/>
              <w:rPr>
                <w:rFonts w:ascii="Century" w:hAnsi="Century" w:eastAsia="Century"/>
                <w:sz w:val="18"/>
                <w:szCs w:val="18"/>
              </w:rPr>
            </w:pPr>
            <w:r>
              <w:rPr>
                <w:rFonts w:eastAsia="Century"/>
                <w:sz w:val="18"/>
                <w:szCs w:val="18"/>
              </w:rPr>
              <w:t>This study explores feature extraction of brainwave patterns using attention and meditation signals. PCA-reduced autoregressive features classified with SVM achieved up to 80% accuracy in 5-fold validation, showing moving average features were unnecessary. (</w:t>
            </w:r>
            <w:r>
              <w:rPr>
                <w:rFonts w:ascii="Century" w:hAnsi="Century" w:eastAsia="Century"/>
                <w:sz w:val="18"/>
                <w:szCs w:val="18"/>
              </w:rPr>
              <w:t>高橋広樹</w:t>
            </w:r>
            <w:r>
              <w:rPr>
                <w:rFonts w:eastAsia="Century" w:cs="Cambria Math"/>
                <w:sz w:val="18"/>
                <w:szCs w:val="18"/>
              </w:rPr>
              <w:t>,Mohammad Reza Alsharif, Bruno Senzio-Savino, S. Kamaledin Setarehdan)</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rPr>
            </w:pPr>
            <w:r>
              <w:rPr>
                <w:rFonts w:eastAsia="Century"/>
                <w:bCs/>
                <w:color w:val="000000"/>
                <w:sz w:val="18"/>
                <w:szCs w:val="18"/>
              </w:rPr>
              <w:t xml:space="preserve">8. </w:t>
            </w:r>
            <w:r>
              <w:rPr>
                <w:rFonts w:eastAsia="Century" w:cs="Arial"/>
                <w:sz w:val="18"/>
                <w:szCs w:val="18"/>
                <w:shd w:fill="FFFFFF" w:val="clear"/>
              </w:rPr>
              <w:t>Brain Wave Pattern Classification from Virtual Training Environment by Self-Organizing Maps</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Style13"/>
              <w:spacing w:lineRule="auto" w:line="240"/>
              <w:jc w:val="start"/>
              <w:rPr>
                <w:rFonts w:ascii="Century" w:hAnsi="Century" w:eastAsia="Century"/>
                <w:sz w:val="18"/>
                <w:szCs w:val="18"/>
              </w:rPr>
            </w:pPr>
            <w:r>
              <w:rPr>
                <w:rFonts w:eastAsia="Century" w:cs="Arial"/>
                <w:sz w:val="18"/>
                <w:szCs w:val="18"/>
                <w:shd w:fill="FFFFFF" w:val="clear"/>
              </w:rPr>
              <w:t>The 31st International Technical Conference on Circuits/Systems,Computers and Communications (ITC-CSCC 2016)</w:t>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research evaluates a brain-wave password classifier using Self-Organizing Maps (SOM) trained on attention and meditation signal patterns from a virtual environment. Ten-fold cross validation achieved a 60% recognition rate with an average processing time of 132 seconds.</w:t>
            </w:r>
          </w:p>
          <w:p>
            <w:pPr>
              <w:pStyle w:val="Style13"/>
              <w:spacing w:lineRule="auto" w:line="240"/>
              <w:rPr>
                <w:rFonts w:ascii="Century" w:hAnsi="Century" w:eastAsia="Century"/>
                <w:sz w:val="18"/>
                <w:szCs w:val="18"/>
              </w:rPr>
            </w:pPr>
            <w:r>
              <w:rPr>
                <w:rFonts w:eastAsia="Century"/>
                <w:spacing w:val="0"/>
                <w:sz w:val="18"/>
                <w:szCs w:val="18"/>
              </w:rPr>
              <w:t>(</w:t>
            </w:r>
            <w:r>
              <w:rPr>
                <w:rFonts w:eastAsia="Century" w:cs="Arial"/>
                <w:sz w:val="18"/>
                <w:szCs w:val="18"/>
              </w:rPr>
              <w:t>Bruno Senzio-Savino, Mohammad Reza Alsharif</w:t>
            </w:r>
            <w:r>
              <w:rPr>
                <w:rFonts w:eastAsia="Century" w:cs="Courier New"/>
                <w:sz w:val="18"/>
                <w:szCs w:val="18"/>
              </w:rPr>
              <w:t>1</w:t>
            </w:r>
            <w:r>
              <w:rPr>
                <w:rFonts w:eastAsia="Century" w:cs="Arial"/>
                <w:sz w:val="18"/>
                <w:szCs w:val="18"/>
              </w:rPr>
              <w:t>, Carlos E. Gutierrez, Chirstian Penaloza,Katsumi Yamashita, Faramarz Alsharif, Mahdi Khosravy</w:t>
            </w:r>
            <w:r>
              <w:rPr>
                <w:rFonts w:eastAsia="Century" w:cs="Courier New"/>
                <w:sz w:val="18"/>
                <w:szCs w:val="18"/>
              </w:rPr>
              <w:t xml:space="preserve"> </w:t>
            </w:r>
            <w:r>
              <w:rPr>
                <w:rFonts w:eastAsia="Century" w:cs="Arial"/>
                <w:sz w:val="18"/>
                <w:szCs w:val="18"/>
              </w:rPr>
              <w:t>and Mousa Shamsi</w:t>
            </w:r>
            <w:r>
              <w:rPr>
                <w:rFonts w:eastAsia="Century"/>
                <w:sz w:val="18"/>
                <w:szCs w:val="18"/>
              </w:rPr>
              <w:t xml:space="preserve"> )</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bCs/>
                <w:color w:val="000000"/>
                <w:sz w:val="18"/>
                <w:szCs w:val="18"/>
              </w:rPr>
              <w:t>9. Disturbance Response and Stability Analysis of Wireless Tele-Control System for MIMO Plant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Style13"/>
              <w:spacing w:lineRule="auto" w:line="240"/>
              <w:jc w:val="start"/>
              <w:rPr>
                <w:rFonts w:ascii="Century" w:hAnsi="Century" w:eastAsia="Century"/>
                <w:sz w:val="18"/>
                <w:szCs w:val="18"/>
              </w:rPr>
            </w:pPr>
            <w:r>
              <w:rPr>
                <w:rFonts w:eastAsia="Century" w:cs="Arial"/>
                <w:sz w:val="18"/>
                <w:szCs w:val="18"/>
                <w:shd w:fill="FFFFFF" w:val="clear"/>
              </w:rPr>
              <w:t>The 31st International Technical Conference on Circuits/Systems,Computers and Communications (ITC-CSCC 2016)</w:t>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study analyzes the disturbance response of a MIMO plant with wireless communication applied to drone attitude control. Channel effects are mitigated using equalizers, and results highlight the system’s response to disturbances in stationary flight.</w:t>
            </w:r>
          </w:p>
          <w:p>
            <w:pPr>
              <w:pStyle w:val="Style13"/>
              <w:spacing w:lineRule="auto" w:line="240"/>
              <w:rPr>
                <w:rFonts w:ascii="Century" w:hAnsi="Century" w:eastAsia="Century"/>
                <w:sz w:val="18"/>
                <w:szCs w:val="18"/>
              </w:rPr>
            </w:pPr>
            <w:r>
              <w:rPr>
                <w:rFonts w:eastAsia="Century"/>
                <w:color w:val="131314"/>
                <w:sz w:val="18"/>
                <w:szCs w:val="18"/>
                <w:shd w:fill="FFFFFF" w:val="clear"/>
              </w:rPr>
              <w:t>(Faramarz Alsharif, Shiro Tamaki, Katsumi Yamashita, Mohammad Reza Alsharif, Bruno Senzio-Savino, Mahdi Khosravy, Heung Gyoon Ryu)</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rPr>
            </w:pPr>
            <w:r>
              <w:rPr>
                <w:rFonts w:eastAsia="Century"/>
                <w:bCs/>
                <w:color w:val="000000"/>
                <w:sz w:val="18"/>
                <w:szCs w:val="18"/>
              </w:rPr>
              <w:t>10. On the effect of informed nodes on learning over complex adaptive networks</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Style13"/>
              <w:spacing w:lineRule="auto" w:line="240"/>
              <w:jc w:val="start"/>
              <w:rPr>
                <w:rFonts w:ascii="Century" w:hAnsi="Century" w:eastAsia="Century"/>
                <w:sz w:val="18"/>
                <w:szCs w:val="18"/>
              </w:rPr>
            </w:pPr>
            <w:r>
              <w:rPr>
                <w:rFonts w:eastAsia="Century" w:cs="Arial"/>
                <w:sz w:val="18"/>
                <w:szCs w:val="18"/>
                <w:shd w:fill="FFFFFF" w:val="clear"/>
              </w:rPr>
              <w:t>The 31st International Technical Conference on Circuits/Systems,Computers and Communications (ITC-CSCC 2016)</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paper studies the effect of informed node proportion on the adaptive-then-combine diffusion LMS algorithm across different network models. Simulations show that higher fractions of uninformed nodes reduce convergence speed but can improve mean-square-error performance, revealing that more information is not always beneficial.</w:t>
            </w:r>
            <w:r>
              <w:rPr>
                <w:rFonts w:eastAsia="Century"/>
                <w:color w:val="131314"/>
                <w:sz w:val="18"/>
                <w:szCs w:val="18"/>
                <w:shd w:fill="FFFFFF" w:val="clear"/>
              </w:rPr>
              <w:t xml:space="preserve"> (Morteza Farhid, Mousa Shamsi, Mohammad Hossein Sedaaghi, Faramarz Asharif, Bruno Senzio-Savino, Mohammad Reza Alsharif)</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bCs/>
                <w:color w:val="000000"/>
                <w:sz w:val="18"/>
                <w:szCs w:val="18"/>
              </w:rPr>
              <w:t>11. A New Double Adaptation Algorithm for Acoustic Noise Control</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0"/>
              <w:jc w:val="start"/>
              <w:textAlignment w:val="auto"/>
              <w:rPr>
                <w:rFonts w:ascii="Century" w:hAnsi="Century" w:eastAsia="Century"/>
                <w:sz w:val="18"/>
                <w:szCs w:val="18"/>
              </w:rPr>
            </w:pPr>
            <w:r>
              <w:rPr>
                <w:rFonts w:eastAsia="Century" w:cs="Arial"/>
                <w:sz w:val="18"/>
                <w:szCs w:val="18"/>
                <w:shd w:fill="FFFFFF" w:val="clear"/>
              </w:rPr>
              <w:t>The 31st International Technical Conference on Circuits/Systems,Computers and Communications (ITC-CSCC 2016)</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paper addresses adaptive filtering in systems with multiple unknown paths, where conventional LMS fails. SAR and double FXLMS algorithms are proposed to simultaneously estimate the secondary path while adapting the main path, with simulations confirming improved stability and performance.</w:t>
            </w:r>
            <w:r>
              <w:rPr>
                <w:rFonts w:eastAsia="Century"/>
                <w:color w:val="131314"/>
                <w:sz w:val="18"/>
                <w:szCs w:val="18"/>
                <w:shd w:fill="FFFFFF" w:val="clear"/>
              </w:rPr>
              <w:t xml:space="preserve"> (Mohammad Reza Asharif, Linnan Zhang, Mahdi Khosravy, Bruno Senzio-Saino, Faramarz Asharif, Katsumi Yamashita)</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bCs/>
                <w:color w:val="000000"/>
                <w:sz w:val="18"/>
                <w:szCs w:val="18"/>
              </w:rPr>
              <w:t xml:space="preserve">12. </w:t>
            </w:r>
            <w:r>
              <w:rPr>
                <w:rFonts w:eastAsia="Century" w:cs="Arial"/>
                <w:sz w:val="18"/>
                <w:szCs w:val="18"/>
                <w:shd w:fill="FFFFFF" w:val="clear"/>
              </w:rPr>
              <w:t>Classification of attention deficit/hyperactivity disorder (ADHD) by extracting non-linear features of children’s EEG</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0"/>
              <w:jc w:val="start"/>
              <w:textAlignment w:val="auto"/>
              <w:rPr>
                <w:rFonts w:ascii="Century" w:hAnsi="Century" w:eastAsia="Century"/>
                <w:sz w:val="18"/>
                <w:szCs w:val="18"/>
              </w:rPr>
            </w:pPr>
            <w:r>
              <w:rPr>
                <w:rFonts w:eastAsia="Century" w:cs="Arial"/>
                <w:sz w:val="18"/>
                <w:szCs w:val="18"/>
                <w:shd w:fill="FFFFFF" w:val="clear"/>
              </w:rPr>
              <w:t>The 31st International Technical Conference on Circuits/Systems,Computers and Communications (ITC-CSCC 2016)</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study classifies ADHD and healthy subjects using nonlinear EEG features selected with the Wilcoxon test. An SVM classifier with four kernel functions was applied to data from 30 subjects, demonstrating effective separation between ADHD and control groups.</w:t>
            </w:r>
            <w:r>
              <w:rPr>
                <w:rFonts w:eastAsia="Century"/>
                <w:spacing w:val="0"/>
                <w:sz w:val="18"/>
                <w:szCs w:val="18"/>
              </w:rPr>
              <w:t xml:space="preserve"> (</w:t>
            </w:r>
            <w:r>
              <w:rPr>
                <w:rFonts w:eastAsia="Century"/>
                <w:sz w:val="18"/>
                <w:szCs w:val="18"/>
              </w:rPr>
              <w:t>Ahmadreza Heidarpour, Mousa Shamsi, Faramarz Alsharif, Bruno Senzio-Savino, Mohammad Reza Alsharif)</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pPr>
            <w:r>
              <w:rPr>
                <w:rFonts w:eastAsia="Century"/>
                <w:sz w:val="18"/>
                <w:szCs w:val="18"/>
              </w:rPr>
              <w:t xml:space="preserve">13. </w:t>
            </w:r>
            <w:hyperlink r:id="rId2">
              <w:r>
                <w:rPr>
                  <w:rStyle w:val="Hyperlink"/>
                  <w:rFonts w:eastAsia="Century" w:cs="Arial"/>
                  <w:color w:val="auto"/>
                  <w:sz w:val="18"/>
                  <w:szCs w:val="18"/>
                  <w:u w:val="none"/>
                  <w:shd w:fill="FFFFFF" w:val="clear"/>
                </w:rPr>
                <w:t>Tractor Oil Pump Fault Diagnosis by Pseudo-spectrum Analysis of Vehicle Sound Records</w:t>
              </w:r>
            </w:hyperlink>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0"/>
              <w:jc w:val="start"/>
              <w:textAlignment w:val="auto"/>
              <w:rPr>
                <w:rFonts w:ascii="Century" w:hAnsi="Century" w:eastAsia="Century"/>
                <w:sz w:val="18"/>
                <w:szCs w:val="18"/>
              </w:rPr>
            </w:pPr>
            <w:r>
              <w:rPr>
                <w:rFonts w:eastAsia="Century" w:cs="Arial"/>
                <w:sz w:val="18"/>
                <w:szCs w:val="18"/>
                <w:shd w:fill="FFFFFF" w:val="clear"/>
              </w:rPr>
              <w:t>The 31st International Technical Conference on Circuits/Systems,Computers and Communications (ITC-CSCC 2016)</w:t>
            </w:r>
            <w:r>
              <w:rPr>
                <w:rFonts w:eastAsia="Century"/>
                <w:sz w:val="18"/>
                <w:szCs w:val="18"/>
              </w:rPr>
              <w:t xml:space="preserve"> </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work presents a pseudo-spectrum analysis method for diagnosing tractor oil pump faults using sound recordings from mobile phones. By analyzing engine noise under dust contamination and choked conditions, the system effectively detects pump faults and pollution levels.</w:t>
            </w:r>
            <w:r>
              <w:rPr>
                <w:rFonts w:eastAsia="Century"/>
                <w:spacing w:val="0"/>
                <w:sz w:val="18"/>
                <w:szCs w:val="18"/>
              </w:rPr>
              <w:t xml:space="preserve"> (</w:t>
            </w:r>
            <w:r>
              <w:rPr>
                <w:rFonts w:eastAsia="Century" w:cs="Arial"/>
                <w:sz w:val="18"/>
                <w:szCs w:val="18"/>
                <w:shd w:fill="FFFFFF" w:val="clear"/>
              </w:rPr>
              <w:t>Saurabh Gupta</w:t>
            </w:r>
            <w:r>
              <w:rPr>
                <w:rFonts w:eastAsia="Century" w:cs="Courier New"/>
                <w:sz w:val="18"/>
                <w:szCs w:val="18"/>
                <w:shd w:fill="FFFFFF" w:val="clear"/>
              </w:rPr>
              <w:t>1</w:t>
            </w:r>
            <w:r>
              <w:rPr>
                <w:rFonts w:eastAsia="Century" w:cs="Arial"/>
                <w:sz w:val="18"/>
                <w:szCs w:val="18"/>
                <w:shd w:fill="FFFFFF" w:val="clear"/>
              </w:rPr>
              <w:t>, Mahdi Khosravy, Neeraj Gupta, Bhupendra Nath Tiwari, Bruno Senzio-Savino</w:t>
            </w:r>
            <w:r>
              <w:rPr>
                <w:rFonts w:eastAsia="Century" w:cs="Courier New"/>
                <w:sz w:val="18"/>
                <w:szCs w:val="18"/>
                <w:shd w:fill="FFFFFF" w:val="clear"/>
              </w:rPr>
              <w:t xml:space="preserve"> </w:t>
            </w:r>
            <w:r>
              <w:rPr>
                <w:rFonts w:eastAsia="Century" w:cs="Arial"/>
                <w:sz w:val="18"/>
                <w:szCs w:val="18"/>
                <w:shd w:fill="FFFFFF" w:val="clear"/>
              </w:rPr>
              <w:t>, Faramarz Asharif</w:t>
            </w:r>
            <w:r>
              <w:rPr>
                <w:rFonts w:eastAsia="Century" w:cs="Courier New"/>
                <w:sz w:val="18"/>
                <w:szCs w:val="18"/>
                <w:shd w:fill="FFFFFF" w:val="clear"/>
              </w:rPr>
              <w:t xml:space="preserve"> </w:t>
            </w:r>
            <w:r>
              <w:rPr>
                <w:rFonts w:eastAsia="Century" w:cs="Arial"/>
                <w:sz w:val="18"/>
                <w:szCs w:val="18"/>
                <w:shd w:fill="FFFFFF" w:val="clear"/>
              </w:rPr>
              <w:t>, Mohammad Reza Asharif</w:t>
            </w:r>
            <w:r>
              <w:rPr>
                <w:rFonts w:eastAsia="Century"/>
                <w:spacing w:val="0"/>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 xml:space="preserve">14. </w:t>
            </w:r>
            <w:r>
              <w:rPr>
                <w:rFonts w:eastAsia="Century" w:cs="Arial"/>
                <w:sz w:val="18"/>
                <w:szCs w:val="18"/>
                <w:shd w:fill="FFFFFF" w:val="clear"/>
              </w:rPr>
              <w:t>Path Detection in Virtual Environment for Synchronous EEG by DensityBased Support Vector Machine</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2016.7</w:t>
            </w:r>
          </w:p>
        </w:tc>
        <w:tc>
          <w:tcPr>
            <w:tcW w:w="2054" w:type="dxa"/>
            <w:tcBorders>
              <w:bottom w:val="single" w:sz="6" w:space="0" w:color="000000"/>
              <w:end w:val="single" w:sz="6" w:space="0" w:color="000000"/>
            </w:tcBorders>
            <w:vAlign w:val="center"/>
          </w:tcPr>
          <w:p>
            <w:pPr>
              <w:pStyle w:val="Normal"/>
              <w:widowControl/>
              <w:shd w:val="clear" w:color="auto" w:fill="FFFFFF"/>
              <w:spacing w:lineRule="auto" w:line="240" w:beforeAutospacing="1" w:after="0"/>
              <w:jc w:val="start"/>
              <w:textAlignment w:val="auto"/>
              <w:rPr>
                <w:rFonts w:ascii="Century" w:hAnsi="Century" w:eastAsia="Century"/>
                <w:sz w:val="18"/>
                <w:szCs w:val="18"/>
              </w:rPr>
            </w:pPr>
            <w:r>
              <w:rPr>
                <w:rFonts w:eastAsia="Century" w:cs="Arial"/>
                <w:sz w:val="18"/>
                <w:szCs w:val="18"/>
                <w:shd w:fill="FFFFFF" w:val="clear"/>
              </w:rPr>
              <w:t>Journal of Information and Communications Engineering (JICE), 1 (1): 36-40, 2015</w:t>
            </w:r>
            <w:r>
              <w:rPr>
                <w:rFonts w:eastAsia="Century"/>
                <w:sz w:val="18"/>
                <w:szCs w:val="18"/>
              </w:rPr>
              <w:t xml:space="preserve"> </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paper presents a BCI approach using low-cost FFT-based EEG devices and a 3D virtual training environment. A DBSVM classifier trained on EEG epochs achieved a 60% success rate, with potential applications in mind-wave passwords and virtual path tracing. Future work includes dynamic classifier development.</w:t>
              <w:br/>
            </w:r>
            <w:r>
              <w:rPr>
                <w:rFonts w:eastAsia="Century"/>
                <w:spacing w:val="0"/>
                <w:sz w:val="18"/>
                <w:szCs w:val="18"/>
              </w:rPr>
              <w:t>(</w:t>
            </w:r>
            <w:r>
              <w:rPr>
                <w:rFonts w:eastAsia="Century" w:cs="Arial"/>
                <w:sz w:val="18"/>
                <w:szCs w:val="18"/>
                <w:shd w:fill="FFFFFF" w:val="clear"/>
              </w:rPr>
              <w:t>Bruno Senzio-Savino, Mohammad Reza Alsharif, Carlos E. Gutierrez, Katsumi Yamashita and Jason Noble</w:t>
            </w:r>
            <w:r>
              <w:rPr>
                <w:rFonts w:eastAsia="Century"/>
                <w:spacing w:val="0"/>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bCs/>
                <w:color w:val="000000"/>
                <w:sz w:val="18"/>
                <w:szCs w:val="18"/>
              </w:rPr>
              <w:t xml:space="preserve">15. </w:t>
            </w:r>
            <w:r>
              <w:rPr>
                <w:rFonts w:eastAsia="Century" w:cs="NimbusRomNo9L-Regu"/>
                <w:kern w:val="0"/>
                <w:sz w:val="18"/>
                <w:szCs w:val="18"/>
              </w:rPr>
              <w:t xml:space="preserve">Density Based Support Vector Machine Classification for </w:t>
            </w:r>
            <w:r>
              <w:rPr>
                <w:rFonts w:eastAsia="Century" w:cs="NimbusRomNo9L-Regu"/>
                <w:sz w:val="18"/>
                <w:szCs w:val="18"/>
              </w:rPr>
              <w:t>a Synchronous EEG Path Tracing Virtual Environment.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2015.11</w:t>
            </w:r>
          </w:p>
        </w:tc>
        <w:tc>
          <w:tcPr>
            <w:tcW w:w="2054" w:type="dxa"/>
            <w:tcBorders>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cs="NimbusRomNo9L-Regu"/>
                <w:kern w:val="0"/>
                <w:sz w:val="18"/>
                <w:szCs w:val="18"/>
              </w:rPr>
              <w:t>Proceedings of the 1st International Conference on Intelligent Informatics and BioMedical Sciences (ICIIBMS 2015),</w:t>
            </w:r>
          </w:p>
          <w:p>
            <w:pPr>
              <w:pStyle w:val="Normal"/>
              <w:spacing w:lineRule="auto" w:line="240"/>
              <w:jc w:val="start"/>
              <w:rPr>
                <w:rFonts w:ascii="Century" w:hAnsi="Century" w:eastAsia="Century"/>
                <w:sz w:val="18"/>
                <w:szCs w:val="18"/>
              </w:rPr>
            </w:pPr>
            <w:r>
              <w:rPr>
                <w:rFonts w:eastAsia="Century" w:cs="NimbusRomNo9L-Regu"/>
                <w:kern w:val="0"/>
                <w:sz w:val="18"/>
                <w:szCs w:val="18"/>
                <w:lang w:val="es-MX"/>
              </w:rPr>
              <w:t>223-226.</w:t>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paper explores BCI applications using low-cost FFT-based EEG devices within a 3D virtual training environment. A DBSVM classifier was trained on EEG epochs to detect predefined patterns, achieving a 60% success rate. Future work focuses on dynamic classifiers and applications such as mind-wave passwords and virtual path tracing.</w:t>
            </w:r>
          </w:p>
          <w:p>
            <w:pPr>
              <w:pStyle w:val="Normal"/>
              <w:widowControl/>
              <w:jc w:val="start"/>
              <w:textAlignment w:val="auto"/>
              <w:rPr>
                <w:rFonts w:ascii="Century" w:hAnsi="Century" w:eastAsia="Century"/>
                <w:sz w:val="18"/>
                <w:szCs w:val="18"/>
              </w:rPr>
            </w:pPr>
            <w:r>
              <w:rPr>
                <w:rFonts w:eastAsia="Century"/>
                <w:sz w:val="18"/>
                <w:szCs w:val="18"/>
                <w:lang w:val="es-MX"/>
              </w:rPr>
              <w:t>(</w:t>
            </w:r>
            <w:r>
              <w:rPr>
                <w:rFonts w:eastAsia="Century" w:cs="NimbusRomNo9L-Medi"/>
                <w:kern w:val="0"/>
                <w:sz w:val="18"/>
                <w:szCs w:val="18"/>
                <w:lang w:val="es-MX"/>
              </w:rPr>
              <w:t>Bruno Senzio-Savino</w:t>
            </w:r>
            <w:r>
              <w:rPr>
                <w:rFonts w:eastAsia="Century" w:cs="NimbusRomNo9L-Regu"/>
                <w:kern w:val="0"/>
                <w:sz w:val="18"/>
                <w:szCs w:val="18"/>
                <w:lang w:val="es-MX"/>
              </w:rPr>
              <w:t>, Mohammad Reza Alsharif, Carlos E. Gutierrez, Katsumi Yamashita</w:t>
            </w:r>
          </w:p>
          <w:p>
            <w:pPr>
              <w:pStyle w:val="Style13"/>
              <w:spacing w:lineRule="auto" w:line="240"/>
              <w:rPr>
                <w:rFonts w:ascii="Century" w:hAnsi="Century" w:eastAsia="Century"/>
                <w:sz w:val="18"/>
                <w:szCs w:val="18"/>
              </w:rPr>
            </w:pPr>
            <w:r>
              <w:rPr>
                <w:rFonts w:eastAsia="Century" w:cs="NimbusRomNo9L-Regu"/>
                <w:sz w:val="18"/>
                <w:szCs w:val="18"/>
                <w:lang w:val="es-MX"/>
              </w:rPr>
              <w:t>and Jason Noble</w:t>
            </w:r>
            <w:r>
              <w:rPr>
                <w:rFonts w:eastAsia="Century"/>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sz w:val="18"/>
                <w:szCs w:val="18"/>
              </w:rPr>
              <w:t xml:space="preserve">16. </w:t>
            </w:r>
            <w:r>
              <w:rPr>
                <w:rFonts w:eastAsia="Century"/>
                <w:color w:val="231F20"/>
                <w:kern w:val="0"/>
                <w:sz w:val="18"/>
                <w:szCs w:val="18"/>
              </w:rPr>
              <w:t xml:space="preserve">Synchronous Emotion Pattern Recognition with a </w:t>
            </w:r>
            <w:r>
              <w:rPr>
                <w:rFonts w:eastAsia="Century"/>
                <w:color w:val="231F20"/>
                <w:sz w:val="18"/>
                <w:szCs w:val="18"/>
                <w:lang w:val="es-MX"/>
              </w:rPr>
              <w:t>Virtual Training Environment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lineRule="auto" w:line="240" w:before="242" w:after="0"/>
              <w:jc w:val="center"/>
              <w:rPr>
                <w:rFonts w:ascii="Century" w:hAnsi="Century" w:eastAsia="Century"/>
                <w:sz w:val="18"/>
                <w:szCs w:val="18"/>
              </w:rPr>
            </w:pPr>
            <w:r>
              <w:rPr>
                <w:rFonts w:eastAsia="Century"/>
                <w:spacing w:val="0"/>
                <w:sz w:val="18"/>
                <w:szCs w:val="18"/>
              </w:rPr>
              <w:t>2015.6</w:t>
            </w:r>
          </w:p>
        </w:tc>
        <w:tc>
          <w:tcPr>
            <w:tcW w:w="2054" w:type="dxa"/>
            <w:tcBorders>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cs="NimbusRomNo9L-Regu"/>
                <w:kern w:val="0"/>
                <w:sz w:val="18"/>
                <w:szCs w:val="18"/>
              </w:rPr>
              <w:t xml:space="preserve">Proceedings </w:t>
            </w:r>
            <w:r>
              <w:rPr>
                <w:rFonts w:eastAsia="Century" w:cs="NimbusRomNo9L-Regu"/>
                <w:sz w:val="18"/>
                <w:szCs w:val="18"/>
              </w:rPr>
              <w:t>of the International Conference on Artificial Intelligence (ICAI 2015), 650-654.</w:t>
            </w:r>
            <w:r>
              <w:rPr>
                <w:rFonts w:eastAsia="Century"/>
                <w:spacing w:val="0"/>
                <w:sz w:val="18"/>
                <w:szCs w:val="18"/>
              </w:rPr>
              <w:t xml:space="preserve"> </w:t>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paper presents a BCI method using DBSVM classifiers with EEG data from low-cost headsets in a 3D virtual training environment. Classifiers achieved up to 80% success, with future work aimed at dynamic models to detect emotion-specific patterns.</w:t>
            </w:r>
          </w:p>
          <w:p>
            <w:pPr>
              <w:pStyle w:val="Style13"/>
              <w:spacing w:lineRule="auto" w:line="240"/>
              <w:rPr>
                <w:rFonts w:ascii="Century" w:hAnsi="Century" w:eastAsia="Century"/>
                <w:sz w:val="18"/>
                <w:szCs w:val="18"/>
              </w:rPr>
            </w:pPr>
            <w:r>
              <w:rPr>
                <w:rFonts w:eastAsia="Century"/>
                <w:sz w:val="18"/>
                <w:szCs w:val="18"/>
              </w:rPr>
              <w:t>(</w:t>
            </w:r>
            <w:r>
              <w:rPr>
                <w:rFonts w:eastAsia="Century" w:cs="NimbusRomNo9L-Medi"/>
                <w:sz w:val="18"/>
                <w:szCs w:val="18"/>
              </w:rPr>
              <w:t>Bruno Senzio-Savino</w:t>
            </w:r>
            <w:r>
              <w:rPr>
                <w:rFonts w:eastAsia="Century" w:cs="NimbusRomNo9L-Regu"/>
                <w:sz w:val="18"/>
                <w:szCs w:val="18"/>
              </w:rPr>
              <w:t>, M.R. Alsharif, C.E. Gutierrez and K. Yamashita</w:t>
            </w:r>
            <w:r>
              <w:rPr>
                <w:rFonts w:eastAsia="Century"/>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rPr>
            </w:pPr>
            <w:r>
              <w:rPr>
                <w:rFonts w:eastAsia="Century"/>
                <w:sz w:val="18"/>
                <w:szCs w:val="18"/>
              </w:rPr>
              <w:t>17. Stability and Performance Evaluation of Wireless Tele-Control System for MIMO Plant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2015.6</w:t>
            </w:r>
          </w:p>
        </w:tc>
        <w:tc>
          <w:tcPr>
            <w:tcW w:w="2054" w:type="dxa"/>
            <w:tcBorders>
              <w:bottom w:val="single" w:sz="6" w:space="0" w:color="000000"/>
              <w:end w:val="single" w:sz="6" w:space="0" w:color="000000"/>
            </w:tcBorders>
            <w:vAlign w:val="center"/>
          </w:tcPr>
          <w:p>
            <w:pPr>
              <w:pStyle w:val="Normal"/>
              <w:widowControl/>
              <w:spacing w:lineRule="auto" w:line="240"/>
              <w:jc w:val="start"/>
              <w:textAlignment w:val="auto"/>
              <w:rPr>
                <w:rFonts w:ascii="Century" w:hAnsi="Century" w:eastAsia="Century"/>
                <w:sz w:val="18"/>
                <w:szCs w:val="18"/>
              </w:rPr>
            </w:pPr>
            <w:r>
              <w:rPr>
                <w:rFonts w:eastAsia="Century" w:cs="NimbusRomNo9L-Regu"/>
                <w:kern w:val="0"/>
                <w:sz w:val="18"/>
                <w:szCs w:val="18"/>
              </w:rPr>
              <w:t>Proceedings</w:t>
            </w:r>
          </w:p>
          <w:p>
            <w:pPr>
              <w:pStyle w:val="Style13"/>
              <w:spacing w:lineRule="auto" w:line="240"/>
              <w:jc w:val="start"/>
              <w:rPr>
                <w:rFonts w:ascii="Century" w:hAnsi="Century" w:eastAsia="Century"/>
                <w:sz w:val="18"/>
                <w:szCs w:val="18"/>
              </w:rPr>
            </w:pPr>
            <w:r>
              <w:rPr>
                <w:rFonts w:eastAsia="Century" w:cs="NimbusRomNo9L-Regu"/>
                <w:sz w:val="18"/>
                <w:szCs w:val="18"/>
              </w:rPr>
              <w:t>of the International Conference on Wireless Networks (ICWN 2015), 78-84.</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work studies a MIMO wireless tele-control system affected by multipath channels that degrade stability. By integrating FIR equalizers in the control loop, controller design is simplified and stability improved. Validation on a drone shows enhanced performance in the frequency domain.</w:t>
            </w:r>
            <w:r>
              <w:rPr>
                <w:rFonts w:eastAsia="Century" w:cs="TimesNewRoman,Bold"/>
                <w:sz w:val="18"/>
                <w:szCs w:val="18"/>
              </w:rPr>
              <w:t xml:space="preserve"> (Faramarz Alsharif, Shiro Tamaki, Katsumi Yamashita, Tustomu Nagado, Tomokazu Nagata, Mohammad Reza Alsharif, Bruno Senzio-Savino and Heung Gyoon Ryu)</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 xml:space="preserve">18. </w:t>
            </w:r>
            <w:r>
              <w:rPr>
                <w:rFonts w:ascii="Century" w:hAnsi="Century" w:cs="MSGothic" w:eastAsia="Century"/>
                <w:kern w:val="0"/>
                <w:sz w:val="18"/>
                <w:szCs w:val="18"/>
                <w:lang w:val="es-MX"/>
              </w:rPr>
              <w:t>脳波信号パターンのパスワードアプリケーション調査と開発</w:t>
            </w:r>
          </w:p>
          <w:p>
            <w:pPr>
              <w:pStyle w:val="Style13"/>
              <w:spacing w:lineRule="auto" w:line="240" w:before="242" w:after="0"/>
              <w:jc w:val="start"/>
              <w:rPr>
                <w:rFonts w:ascii="Century" w:hAnsi="Century" w:eastAsia="Century"/>
                <w:spacing w:val="0"/>
                <w:sz w:val="18"/>
                <w:szCs w:val="18"/>
              </w:rPr>
            </w:pPr>
            <w:r>
              <w:rPr>
                <w:rFonts w:eastAsia="Century"/>
                <w:spacing w:val="0"/>
                <w:sz w:val="18"/>
                <w:szCs w:val="18"/>
              </w:rPr>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2014.11</w:t>
            </w:r>
          </w:p>
        </w:tc>
        <w:tc>
          <w:tcPr>
            <w:tcW w:w="2054" w:type="dxa"/>
            <w:tcBorders>
              <w:bottom w:val="single" w:sz="6" w:space="0" w:color="000000"/>
              <w:end w:val="single" w:sz="6" w:space="0" w:color="000000"/>
            </w:tcBorders>
            <w:vAlign w:val="center"/>
          </w:tcPr>
          <w:p>
            <w:pPr>
              <w:pStyle w:val="Normal"/>
              <w:widowControl/>
              <w:jc w:val="start"/>
              <w:textAlignment w:val="auto"/>
              <w:rPr>
                <w:rFonts w:ascii="Century" w:hAnsi="Century" w:eastAsia="Century"/>
                <w:sz w:val="18"/>
                <w:szCs w:val="18"/>
              </w:rPr>
            </w:pPr>
            <w:r>
              <w:rPr>
                <w:rFonts w:eastAsia="Century" w:cs="NimbusRomNo9L-Regu"/>
                <w:kern w:val="0"/>
                <w:sz w:val="18"/>
                <w:szCs w:val="18"/>
              </w:rPr>
              <w:t>Proceedings of the 15th IEEE/SICE International</w:t>
            </w:r>
          </w:p>
          <w:p>
            <w:pPr>
              <w:pStyle w:val="Style13"/>
              <w:jc w:val="start"/>
              <w:rPr>
                <w:rFonts w:ascii="Century" w:hAnsi="Century" w:eastAsia="Century"/>
                <w:sz w:val="18"/>
                <w:szCs w:val="18"/>
              </w:rPr>
            </w:pPr>
            <w:r>
              <w:rPr>
                <w:rFonts w:eastAsia="Century" w:cs="NimbusRomNo9L-Regu"/>
                <w:sz w:val="18"/>
                <w:szCs w:val="18"/>
              </w:rPr>
              <w:t>Symposium on System Integration (SICE 2014), 1182-1184.</w:t>
            </w:r>
            <w:r>
              <w:rPr>
                <w:rFonts w:eastAsia="Century"/>
                <w:spacing w:val="0"/>
                <w:sz w:val="18"/>
                <w:szCs w:val="18"/>
              </w:rPr>
              <w:t xml:space="preserve"> </w:t>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This paper proposes a password application using mind wave patterns derived from attention and meditation values of a low-cost EEG interface. Unique patterns are generated from meditation peaks and matched with expected outputs to trigger specific actions. (</w:t>
            </w:r>
            <w:r>
              <w:rPr>
                <w:rFonts w:eastAsia="Century" w:cs="MS Mincho"/>
                <w:sz w:val="18"/>
                <w:szCs w:val="18"/>
              </w:rPr>
              <w:t>Senzio Savino Bruno, Koji Yamada</w:t>
            </w:r>
            <w:r>
              <w:rPr>
                <w:rFonts w:eastAsia="Century"/>
                <w:sz w:val="18"/>
                <w:szCs w:val="18"/>
              </w:rPr>
              <w:t>)</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Style13"/>
              <w:spacing w:lineRule="auto" w:line="240" w:before="242" w:after="0"/>
              <w:jc w:val="start"/>
              <w:rPr>
                <w:rFonts w:ascii="Century" w:hAnsi="Century" w:eastAsia="Century"/>
                <w:sz w:val="18"/>
                <w:szCs w:val="18"/>
              </w:rPr>
            </w:pPr>
            <w:r>
              <w:rPr>
                <w:rFonts w:eastAsia="Century"/>
                <w:sz w:val="18"/>
                <w:szCs w:val="18"/>
              </w:rPr>
            </w:r>
          </w:p>
          <w:p>
            <w:pPr>
              <w:pStyle w:val="Normal"/>
              <w:spacing w:lineRule="auto" w:line="240"/>
              <w:jc w:val="start"/>
              <w:rPr>
                <w:rFonts w:ascii="Century" w:hAnsi="Century" w:eastAsia="Century"/>
                <w:sz w:val="18"/>
                <w:szCs w:val="18"/>
              </w:rPr>
            </w:pPr>
            <w:r>
              <w:rPr>
                <w:rFonts w:eastAsia="Century"/>
                <w:sz w:val="18"/>
                <w:szCs w:val="18"/>
              </w:rPr>
              <w:t xml:space="preserve">19. </w:t>
            </w:r>
            <w:r>
              <w:rPr>
                <w:rFonts w:eastAsia="Century" w:cs="Martel"/>
                <w:sz w:val="18"/>
                <w:szCs w:val="18"/>
              </w:rPr>
              <w:t>Remote operation of a parabolic motion and free fall experiment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 xml:space="preserve"> </w:t>
            </w:r>
          </w:p>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z w:val="18"/>
                <w:szCs w:val="18"/>
              </w:rPr>
            </w:r>
          </w:p>
          <w:p>
            <w:pPr>
              <w:pStyle w:val="Style13"/>
              <w:spacing w:before="242" w:after="0"/>
              <w:jc w:val="center"/>
              <w:rPr>
                <w:rFonts w:ascii="Century" w:hAnsi="Century" w:eastAsia="Century"/>
                <w:sz w:val="18"/>
                <w:szCs w:val="18"/>
              </w:rPr>
            </w:pPr>
            <w:r>
              <w:rPr>
                <w:rFonts w:eastAsia="Century"/>
                <w:sz w:val="18"/>
                <w:szCs w:val="18"/>
              </w:rPr>
              <w:t>2011.7</w:t>
            </w:r>
          </w:p>
        </w:tc>
        <w:tc>
          <w:tcPr>
            <w:tcW w:w="2054" w:type="dxa"/>
            <w:tcBorders>
              <w:bottom w:val="single" w:sz="6" w:space="0" w:color="000000"/>
              <w:end w:val="single" w:sz="6" w:space="0" w:color="000000"/>
            </w:tcBorders>
            <w:vAlign w:val="center"/>
          </w:tcPr>
          <w:p>
            <w:pPr>
              <w:pStyle w:val="Normal"/>
              <w:jc w:val="start"/>
              <w:rPr>
                <w:rFonts w:ascii="Century" w:hAnsi="Century" w:eastAsia="Century"/>
                <w:sz w:val="18"/>
                <w:szCs w:val="18"/>
              </w:rPr>
            </w:pPr>
            <w:r>
              <w:rPr>
                <w:rFonts w:eastAsia="Century"/>
                <w:sz w:val="18"/>
                <w:szCs w:val="18"/>
              </w:rPr>
            </w:r>
          </w:p>
          <w:p>
            <w:pPr>
              <w:pStyle w:val="Normal"/>
              <w:jc w:val="start"/>
              <w:rPr>
                <w:rFonts w:ascii="Century" w:hAnsi="Century" w:eastAsia="Century"/>
                <w:sz w:val="18"/>
                <w:szCs w:val="18"/>
              </w:rPr>
            </w:pPr>
            <w:r>
              <w:rPr>
                <w:rFonts w:eastAsia="Century"/>
                <w:sz w:val="18"/>
                <w:szCs w:val="18"/>
              </w:rPr>
            </w:r>
          </w:p>
          <w:p>
            <w:pPr>
              <w:pStyle w:val="Normal"/>
              <w:widowControl/>
              <w:shd w:val="clear" w:color="auto" w:fill="FFFFFF"/>
              <w:spacing w:beforeAutospacing="1" w:afterAutospacing="1"/>
              <w:jc w:val="start"/>
              <w:textAlignment w:val="auto"/>
              <w:rPr>
                <w:rFonts w:ascii="Century" w:hAnsi="Century" w:eastAsia="Century"/>
                <w:sz w:val="18"/>
                <w:szCs w:val="18"/>
              </w:rPr>
            </w:pPr>
            <w:r>
              <w:rPr>
                <w:rFonts w:eastAsia="Century"/>
                <w:kern w:val="0"/>
                <w:sz w:val="18"/>
                <w:szCs w:val="18"/>
              </w:rPr>
              <w:t>2nd International Conference of Instrumentation and Applied Sciences</w:t>
            </w:r>
          </w:p>
          <w:p>
            <w:pPr>
              <w:pStyle w:val="Normal"/>
              <w:jc w:val="start"/>
              <w:rPr>
                <w:rFonts w:ascii="Century" w:hAnsi="Century" w:eastAsia="Century"/>
                <w:bCs/>
                <w:color w:val="000000"/>
                <w:sz w:val="18"/>
                <w:szCs w:val="18"/>
              </w:rPr>
            </w:pPr>
            <w:r>
              <w:rPr>
                <w:rFonts w:eastAsia="Century"/>
                <w:bCs/>
                <w:color w:val="000000"/>
                <w:sz w:val="18"/>
                <w:szCs w:val="18"/>
              </w:rPr>
            </w:r>
          </w:p>
        </w:tc>
        <w:tc>
          <w:tcPr>
            <w:tcW w:w="3475" w:type="dxa"/>
            <w:tcBorders>
              <w:bottom w:val="single" w:sz="6" w:space="0" w:color="000000"/>
              <w:end w:val="single" w:sz="6" w:space="0" w:color="000000"/>
            </w:tcBorders>
          </w:tcPr>
          <w:p>
            <w:pPr>
              <w:pStyle w:val="Style13"/>
              <w:spacing w:lineRule="auto" w:line="240"/>
              <w:rPr>
                <w:rFonts w:ascii="Century" w:hAnsi="Century" w:eastAsia="Century"/>
                <w:sz w:val="18"/>
                <w:szCs w:val="18"/>
              </w:rPr>
            </w:pPr>
            <w:r>
              <w:rPr>
                <w:rFonts w:eastAsia="Century"/>
                <w:sz w:val="18"/>
                <w:szCs w:val="18"/>
              </w:rPr>
              <w:t>The system integrates a cannon and a releaser, where the cannon’s angle is adjusted to hit a falling target. A microcontroller handles input and output signals via USB for speed and flexibility, while a client–server interface streams live video using open-source software.</w:t>
            </w:r>
            <w:r>
              <w:rPr>
                <w:rFonts w:eastAsia="Century"/>
                <w:color w:val="131314"/>
                <w:sz w:val="18"/>
                <w:szCs w:val="18"/>
                <w:shd w:fill="FFFFFF" w:val="clear"/>
              </w:rPr>
              <w:t xml:space="preserve"> </w:t>
            </w:r>
            <w:r>
              <w:rPr>
                <w:rFonts w:eastAsia="Century"/>
                <w:color w:val="131314"/>
                <w:sz w:val="18"/>
                <w:szCs w:val="18"/>
                <w:shd w:fill="FFFFFF" w:val="clear"/>
                <w:lang w:val="es-MX"/>
              </w:rPr>
              <w:t>(</w:t>
            </w:r>
            <w:r>
              <w:rPr>
                <w:rFonts w:eastAsia="Century" w:cs="Arial"/>
                <w:sz w:val="18"/>
                <w:szCs w:val="18"/>
                <w:shd w:fill="FFFFFF" w:val="clear"/>
                <w:lang w:val="es-MX"/>
              </w:rPr>
              <w:t>B. Senzio-Savino Barzellato, Y. Minami Koyama, U. Peñuelas Rivas)</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20. Instrumentation and Control for the Remote Operation of the Projectile Motion and Free-Fall Experiment</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z w:val="18"/>
                <w:szCs w:val="18"/>
              </w:rPr>
            </w:r>
          </w:p>
          <w:p>
            <w:pPr>
              <w:pStyle w:val="Style13"/>
              <w:spacing w:before="242" w:after="0"/>
              <w:jc w:val="center"/>
              <w:rPr>
                <w:rFonts w:ascii="Century" w:hAnsi="Century" w:eastAsia="Century"/>
                <w:sz w:val="18"/>
                <w:szCs w:val="18"/>
              </w:rPr>
            </w:pPr>
            <w:r>
              <w:rPr>
                <w:rFonts w:eastAsia="Century"/>
                <w:sz w:val="18"/>
                <w:szCs w:val="18"/>
              </w:rPr>
              <w:t>2011.6</w:t>
            </w:r>
          </w:p>
        </w:tc>
        <w:tc>
          <w:tcPr>
            <w:tcW w:w="2054" w:type="dxa"/>
            <w:tcBorders>
              <w:bottom w:val="single" w:sz="6" w:space="0" w:color="000000"/>
              <w:end w:val="single" w:sz="6" w:space="0" w:color="000000"/>
            </w:tcBorders>
            <w:vAlign w:val="center"/>
          </w:tcPr>
          <w:p>
            <w:pPr>
              <w:pStyle w:val="Normal"/>
              <w:widowControl/>
              <w:shd w:val="clear" w:color="auto" w:fill="FFFFFF"/>
              <w:spacing w:beforeAutospacing="1" w:after="0"/>
              <w:jc w:val="start"/>
              <w:textAlignment w:val="auto"/>
              <w:rPr>
                <w:rFonts w:ascii="Century" w:hAnsi="Century" w:eastAsia="Century"/>
                <w:sz w:val="18"/>
                <w:szCs w:val="18"/>
              </w:rPr>
            </w:pPr>
            <w:r>
              <w:rPr>
                <w:rFonts w:eastAsia="Century"/>
                <w:sz w:val="18"/>
                <w:szCs w:val="18"/>
              </w:rPr>
              <w:t>B.S.Graduation Thesis</w:t>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Engineering education requires experimental practice to complement theory, but traditional labs face challenges such as high costs, limited infrastructure, and overcrowding. For Kinematics and Dynamics courses at UNAM, remote or alternative lab solutions can enhance interactive learning and overcome these limitations.</w:t>
            </w:r>
            <w:r>
              <w:rPr>
                <w:rFonts w:eastAsia="Century" w:ascii="Century" w:hAnsi="Century"/>
                <w:sz w:val="18"/>
                <w:szCs w:val="18"/>
                <w:lang w:val="es-MX"/>
              </w:rPr>
              <w:t>(B. Senzio-Savino Barzellato)</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 xml:space="preserve">21.Experimental Determination of an Irregular Object’s Moment of Inertia </w:t>
            </w:r>
          </w:p>
          <w:p>
            <w:pPr>
              <w:pStyle w:val="Normal"/>
              <w:spacing w:lineRule="auto" w:line="240"/>
              <w:jc w:val="start"/>
              <w:rPr>
                <w:rFonts w:ascii="Century" w:hAnsi="Century" w:eastAsia="Century"/>
                <w:sz w:val="18"/>
                <w:szCs w:val="18"/>
              </w:rPr>
            </w:pPr>
            <w:r>
              <w:rPr>
                <w:rFonts w:eastAsia="Century"/>
                <w:sz w:val="18"/>
                <w:szCs w:val="18"/>
              </w:rPr>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共著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z w:val="18"/>
                <w:szCs w:val="18"/>
              </w:rPr>
              <w:t>2009.10</w:t>
            </w:r>
          </w:p>
        </w:tc>
        <w:tc>
          <w:tcPr>
            <w:tcW w:w="2054" w:type="dxa"/>
            <w:tcBorders>
              <w:bottom w:val="single" w:sz="6" w:space="0" w:color="000000"/>
              <w:end w:val="single" w:sz="6" w:space="0" w:color="000000"/>
            </w:tcBorders>
            <w:vAlign w:val="center"/>
          </w:tcPr>
          <w:p>
            <w:pPr>
              <w:pStyle w:val="Normal"/>
              <w:jc w:val="start"/>
              <w:rPr>
                <w:rFonts w:ascii="Century" w:hAnsi="Century" w:eastAsia="Century"/>
                <w:sz w:val="18"/>
                <w:szCs w:val="18"/>
              </w:rPr>
            </w:pPr>
            <w:r>
              <w:rPr>
                <w:rFonts w:eastAsia="Century"/>
                <w:sz w:val="18"/>
                <w:szCs w:val="18"/>
              </w:rPr>
            </w:r>
          </w:p>
          <w:p>
            <w:pPr>
              <w:pStyle w:val="nova-legacy-e-listitem"/>
              <w:shd w:val="clear" w:color="auto" w:fill="FFFFFF"/>
              <w:spacing w:before="100" w:after="100"/>
              <w:jc w:val="start"/>
              <w:rPr>
                <w:rFonts w:ascii="Century" w:hAnsi="Century" w:eastAsia="Century"/>
                <w:sz w:val="18"/>
                <w:szCs w:val="18"/>
              </w:rPr>
            </w:pPr>
            <w:r>
              <w:rPr>
                <w:rFonts w:eastAsia="Century" w:ascii="Century" w:hAnsi="Century"/>
                <w:sz w:val="18"/>
                <w:szCs w:val="18"/>
                <w:lang w:val="en-US"/>
              </w:rPr>
              <w:t>1st International Congress on Instrumentation and Applied Sciences</w:t>
            </w:r>
          </w:p>
          <w:p>
            <w:pPr>
              <w:pStyle w:val="Normal"/>
              <w:widowControl/>
              <w:shd w:val="clear" w:color="auto" w:fill="FFFFFF"/>
              <w:spacing w:beforeAutospacing="1" w:after="0"/>
              <w:jc w:val="start"/>
              <w:textAlignment w:val="auto"/>
              <w:rPr>
                <w:rFonts w:ascii="Century" w:hAnsi="Century" w:eastAsia="Century"/>
                <w:kern w:val="0"/>
                <w:sz w:val="18"/>
                <w:szCs w:val="18"/>
              </w:rPr>
            </w:pPr>
            <w:r>
              <w:rPr>
                <w:rFonts w:eastAsia="Century"/>
                <w:kern w:val="0"/>
                <w:sz w:val="18"/>
                <w:szCs w:val="18"/>
              </w:rPr>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 xml:space="preserve">A suspension-based platform method is used to measure an object’s moment of inertia through helical oscillations. The inertia is derived from the oscillation period and system parameters, achieving results with about 3% maximum relative error. </w:t>
            </w:r>
            <w:r>
              <w:rPr>
                <w:rFonts w:eastAsia="Century" w:ascii="Century" w:hAnsi="Century"/>
                <w:sz w:val="18"/>
                <w:szCs w:val="18"/>
              </w:rPr>
              <w:t>(Y. Minami Koyama, H. G. Serrano Miranda, A. Monrroy Cano, B. Senzio-Savino Barzellato)</w:t>
            </w:r>
          </w:p>
        </w:tc>
      </w:tr>
      <w:tr>
        <w:trPr>
          <w:trHeight w:val="1388" w:hRule="atLeast"/>
        </w:trPr>
        <w:tc>
          <w:tcPr>
            <w:tcW w:w="2862" w:type="dxa"/>
            <w:tcBorders>
              <w:start w:val="single" w:sz="6" w:space="0" w:color="000000"/>
              <w:bottom w:val="single" w:sz="6" w:space="0" w:color="000000"/>
              <w:end w:val="single" w:sz="6" w:space="0" w:color="000000"/>
            </w:tcBorders>
            <w:vAlign w:val="center"/>
          </w:tcPr>
          <w:p>
            <w:pPr>
              <w:pStyle w:val="Normal"/>
              <w:spacing w:lineRule="auto" w:line="240"/>
              <w:jc w:val="start"/>
              <w:rPr>
                <w:rFonts w:ascii="Century" w:hAnsi="Century" w:eastAsia="Century"/>
                <w:sz w:val="18"/>
                <w:szCs w:val="18"/>
              </w:rPr>
            </w:pPr>
            <w:r>
              <w:rPr>
                <w:rFonts w:eastAsia="Century"/>
                <w:sz w:val="18"/>
                <w:szCs w:val="18"/>
              </w:rPr>
              <w:t>22. Mobile robot navigation with a Wiimote</w:t>
            </w:r>
          </w:p>
        </w:tc>
        <w:tc>
          <w:tcPr>
            <w:tcW w:w="636"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Style13"/>
              <w:spacing w:before="242" w:after="0"/>
              <w:jc w:val="center"/>
              <w:rPr>
                <w:rFonts w:ascii="Century" w:hAnsi="Century" w:eastAsia="Century"/>
                <w:sz w:val="18"/>
                <w:szCs w:val="18"/>
              </w:rPr>
            </w:pPr>
            <w:r>
              <w:rPr>
                <w:rFonts w:eastAsia="Century"/>
                <w:spacing w:val="0"/>
                <w:sz w:val="18"/>
                <w:szCs w:val="18"/>
              </w:rPr>
              <w:t xml:space="preserve"> </w:t>
            </w:r>
            <w:r>
              <w:rPr>
                <w:rFonts w:eastAsia="Century"/>
                <w:sz w:val="18"/>
                <w:szCs w:val="18"/>
              </w:rPr>
              <w:t>2009.10</w:t>
            </w:r>
          </w:p>
        </w:tc>
        <w:tc>
          <w:tcPr>
            <w:tcW w:w="2054" w:type="dxa"/>
            <w:tcBorders>
              <w:bottom w:val="single" w:sz="6" w:space="0" w:color="000000"/>
              <w:end w:val="single" w:sz="6" w:space="0" w:color="000000"/>
            </w:tcBorders>
            <w:vAlign w:val="center"/>
          </w:tcPr>
          <w:p>
            <w:pPr>
              <w:pStyle w:val="nova-legacy-e-listitem"/>
              <w:shd w:val="clear" w:color="auto" w:fill="FFFFFF"/>
              <w:spacing w:before="100" w:after="100"/>
              <w:jc w:val="start"/>
              <w:rPr>
                <w:rFonts w:ascii="Century" w:hAnsi="Century" w:eastAsia="Century"/>
                <w:sz w:val="18"/>
                <w:szCs w:val="18"/>
              </w:rPr>
            </w:pPr>
            <w:r>
              <w:rPr>
                <w:rFonts w:eastAsia="Century" w:ascii="Century" w:hAnsi="Century"/>
                <w:sz w:val="18"/>
                <w:szCs w:val="18"/>
                <w:lang w:val="en-US"/>
              </w:rPr>
              <w:t>1st International Congress on Instrumentation and Applied Sciences</w:t>
            </w:r>
          </w:p>
          <w:p>
            <w:pPr>
              <w:pStyle w:val="Normal"/>
              <w:jc w:val="start"/>
              <w:rPr>
                <w:rFonts w:ascii="Century" w:hAnsi="Century" w:eastAsia="Century"/>
                <w:sz w:val="18"/>
                <w:szCs w:val="18"/>
              </w:rPr>
            </w:pPr>
            <w:r>
              <w:rPr>
                <w:rFonts w:eastAsia="Century"/>
                <w:sz w:val="18"/>
                <w:szCs w:val="18"/>
              </w:rPr>
            </w:r>
          </w:p>
        </w:tc>
        <w:tc>
          <w:tcPr>
            <w:tcW w:w="3475" w:type="dxa"/>
            <w:tcBorders>
              <w:bottom w:val="single" w:sz="6" w:space="0" w:color="000000"/>
              <w:end w:val="single" w:sz="6" w:space="0" w:color="000000"/>
            </w:tcBorders>
          </w:tcPr>
          <w:p>
            <w:pPr>
              <w:pStyle w:val="NormalWeb"/>
              <w:spacing w:before="100" w:after="100"/>
              <w:rPr>
                <w:rFonts w:ascii="Century" w:hAnsi="Century" w:eastAsia="Century"/>
                <w:sz w:val="18"/>
                <w:szCs w:val="18"/>
              </w:rPr>
            </w:pPr>
            <w:r>
              <w:rPr>
                <w:rFonts w:eastAsia="Century" w:ascii="Century" w:hAnsi="Century"/>
                <w:sz w:val="18"/>
                <w:szCs w:val="18"/>
                <w:lang w:val="en-US"/>
              </w:rPr>
              <w:t>This work demonstrates the use of the Nintendo© Wiimote as an intuitive interface for mobile robot navigation. By leveraging its buttons and accelerometer, control signals are transmitted via RF to drive a robot capable of carrying up to 100 kg, reducing learning time and enhancing operational efficiency.</w:t>
            </w:r>
            <w:r>
              <w:rPr>
                <w:rFonts w:eastAsia="Century" w:ascii="Century" w:hAnsi="Century"/>
                <w:color w:val="131314"/>
                <w:sz w:val="18"/>
                <w:szCs w:val="18"/>
                <w:shd w:fill="FFFFFF" w:val="clear"/>
                <w:lang w:val="en-US"/>
              </w:rPr>
              <w:t xml:space="preserve"> </w:t>
            </w:r>
            <w:r>
              <w:rPr>
                <w:rFonts w:eastAsia="Century" w:ascii="Century" w:hAnsi="Century"/>
                <w:color w:val="131314"/>
                <w:sz w:val="18"/>
                <w:szCs w:val="18"/>
                <w:shd w:fill="FFFFFF" w:val="clear"/>
              </w:rPr>
              <w:t>(</w:t>
            </w:r>
            <w:r>
              <w:rPr>
                <w:rFonts w:eastAsia="Century" w:cs="Arial" w:ascii="Century" w:hAnsi="Century"/>
                <w:sz w:val="18"/>
                <w:szCs w:val="18"/>
                <w:shd w:fill="FFFFFF" w:val="clear"/>
              </w:rPr>
              <w:t>B. Senzio-Savino Barzellato, Y. Minami Koyama, U. Peñuelas Rivas)</w:t>
            </w:r>
          </w:p>
        </w:tc>
      </w:tr>
      <w:tr>
        <w:trPr>
          <w:trHeight w:val="710" w:hRule="atLeast"/>
        </w:trPr>
        <w:tc>
          <w:tcPr>
            <w:tcW w:w="9938" w:type="dxa"/>
            <w:gridSpan w:val="5"/>
            <w:tcBorders>
              <w:start w:val="single" w:sz="6" w:space="0" w:color="000000"/>
              <w:bottom w:val="single" w:sz="6" w:space="0" w:color="000000"/>
              <w:end w:val="single" w:sz="6" w:space="0" w:color="000000"/>
            </w:tcBorders>
            <w:vAlign w:val="center"/>
          </w:tcPr>
          <w:p>
            <w:pPr>
              <w:pStyle w:val="Normal"/>
              <w:jc w:val="center"/>
              <w:rPr>
                <w:rFonts w:ascii="Century" w:hAnsi="Century" w:eastAsia="Century"/>
                <w:sz w:val="18"/>
                <w:szCs w:val="18"/>
              </w:rPr>
            </w:pPr>
            <w:r>
              <w:rPr>
                <w:rFonts w:ascii="Century" w:hAnsi="Century" w:eastAsia="Century"/>
                <w:sz w:val="18"/>
                <w:szCs w:val="18"/>
              </w:rPr>
              <w:t xml:space="preserve">特許 </w:t>
            </w:r>
          </w:p>
        </w:tc>
      </w:tr>
      <w:tr>
        <w:trPr>
          <w:trHeight w:val="637" w:hRule="atLeast"/>
        </w:trPr>
        <w:tc>
          <w:tcPr>
            <w:tcW w:w="2862" w:type="dxa"/>
            <w:tcBorders>
              <w:start w:val="single" w:sz="6" w:space="0" w:color="000000"/>
              <w:bottom w:val="single" w:sz="6" w:space="0" w:color="000000"/>
              <w:end w:val="single" w:sz="6" w:space="0" w:color="000000"/>
            </w:tcBorders>
          </w:tcPr>
          <w:p>
            <w:pPr>
              <w:pStyle w:val="Normal"/>
              <w:jc w:val="start"/>
              <w:rPr>
                <w:rFonts w:ascii="Century" w:hAnsi="Century" w:eastAsia="Century"/>
                <w:sz w:val="18"/>
                <w:szCs w:val="18"/>
                <w:lang w:val="es-MX"/>
              </w:rPr>
            </w:pPr>
            <w:r>
              <w:rPr>
                <w:rFonts w:eastAsia="Century"/>
                <w:sz w:val="18"/>
                <w:szCs w:val="18"/>
                <w:lang w:val="es-MX"/>
              </w:rPr>
              <w:t>Liquid Container Assembly with removable optical projection base, and projection base module</w:t>
            </w:r>
          </w:p>
        </w:tc>
        <w:tc>
          <w:tcPr>
            <w:tcW w:w="636" w:type="dxa"/>
            <w:tcBorders>
              <w:bottom w:val="single" w:sz="6" w:space="0" w:color="000000"/>
              <w:end w:val="single" w:sz="6" w:space="0" w:color="000000"/>
            </w:tcBorders>
            <w:vAlign w:val="center"/>
          </w:tcPr>
          <w:p>
            <w:pPr>
              <w:pStyle w:val="Normal"/>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Normal"/>
              <w:jc w:val="center"/>
              <w:rPr>
                <w:rFonts w:ascii="Century" w:hAnsi="Century" w:eastAsia="Century"/>
                <w:sz w:val="18"/>
                <w:szCs w:val="18"/>
              </w:rPr>
            </w:pPr>
            <w:r>
              <w:rPr>
                <w:rFonts w:eastAsia="Century"/>
                <w:sz w:val="18"/>
                <w:szCs w:val="18"/>
              </w:rPr>
              <w:t>2025.</w:t>
            </w:r>
            <w:r>
              <w:rPr>
                <w:rFonts w:eastAsia="Century"/>
                <w:sz w:val="18"/>
                <w:szCs w:val="18"/>
                <w:lang w:val="es-MX"/>
              </w:rPr>
              <w:t>6</w:t>
            </w:r>
          </w:p>
        </w:tc>
        <w:tc>
          <w:tcPr>
            <w:tcW w:w="2054" w:type="dxa"/>
            <w:tcBorders>
              <w:bottom w:val="single" w:sz="6" w:space="0" w:color="000000"/>
              <w:end w:val="single" w:sz="6" w:space="0" w:color="000000"/>
            </w:tcBorders>
          </w:tcPr>
          <w:p>
            <w:pPr>
              <w:pStyle w:val="Normal"/>
              <w:jc w:val="center"/>
              <w:rPr>
                <w:rFonts w:ascii="Century" w:hAnsi="Century" w:eastAsia="Century"/>
                <w:sz w:val="18"/>
                <w:szCs w:val="18"/>
                <w:lang w:val="es-MX"/>
              </w:rPr>
            </w:pPr>
            <w:r>
              <w:rPr>
                <w:rFonts w:eastAsia="Century"/>
                <w:sz w:val="18"/>
                <w:szCs w:val="18"/>
                <w:lang w:val="es-MX"/>
              </w:rPr>
              <w:t>100233478</w:t>
            </w:r>
          </w:p>
        </w:tc>
        <w:tc>
          <w:tcPr>
            <w:tcW w:w="3475" w:type="dxa"/>
            <w:tcBorders>
              <w:bottom w:val="single" w:sz="6" w:space="0" w:color="000000"/>
              <w:end w:val="single" w:sz="6" w:space="0" w:color="000000"/>
            </w:tcBorders>
          </w:tcPr>
          <w:p>
            <w:pPr>
              <w:pStyle w:val="Normal"/>
              <w:rPr>
                <w:rFonts w:ascii="Century" w:hAnsi="Century" w:eastAsia="Century"/>
                <w:sz w:val="18"/>
                <w:szCs w:val="18"/>
              </w:rPr>
            </w:pPr>
            <w:r>
              <w:rPr>
                <w:rFonts w:eastAsia="Century"/>
                <w:sz w:val="18"/>
                <w:szCs w:val="18"/>
              </w:rPr>
              <w:t xml:space="preserve">Bruno Senzio-Savino, </w:t>
            </w:r>
            <w:r>
              <w:rPr>
                <w:rFonts w:eastAsia="Century"/>
                <w:sz w:val="18"/>
                <w:szCs w:val="18"/>
                <w:lang w:val="es-MX"/>
              </w:rPr>
              <w:t>Jason Noble</w:t>
            </w:r>
          </w:p>
        </w:tc>
      </w:tr>
      <w:tr>
        <w:trPr>
          <w:trHeight w:val="429" w:hRule="atLeast"/>
        </w:trPr>
        <w:tc>
          <w:tcPr>
            <w:tcW w:w="2862" w:type="dxa"/>
            <w:tcBorders>
              <w:start w:val="single" w:sz="6" w:space="0" w:color="000000"/>
              <w:bottom w:val="single" w:sz="6" w:space="0" w:color="000000"/>
              <w:end w:val="single" w:sz="6" w:space="0" w:color="000000"/>
            </w:tcBorders>
          </w:tcPr>
          <w:p>
            <w:pPr>
              <w:pStyle w:val="Normal"/>
              <w:jc w:val="start"/>
              <w:rPr>
                <w:rFonts w:ascii="Century" w:hAnsi="Century" w:eastAsia="Century"/>
                <w:sz w:val="18"/>
                <w:szCs w:val="18"/>
              </w:rPr>
            </w:pPr>
            <w:r>
              <w:rPr>
                <w:rFonts w:eastAsia="Century"/>
                <w:sz w:val="18"/>
                <w:szCs w:val="18"/>
              </w:rPr>
              <w:t>Mixed Reality System for Interactive Environment Generation</w:t>
            </w:r>
          </w:p>
        </w:tc>
        <w:tc>
          <w:tcPr>
            <w:tcW w:w="636" w:type="dxa"/>
            <w:tcBorders>
              <w:bottom w:val="single" w:sz="6" w:space="0" w:color="000000"/>
              <w:end w:val="single" w:sz="6" w:space="0" w:color="000000"/>
            </w:tcBorders>
            <w:vAlign w:val="center"/>
          </w:tcPr>
          <w:p>
            <w:pPr>
              <w:pStyle w:val="Normal"/>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6" w:space="0" w:color="000000"/>
              <w:end w:val="single" w:sz="6" w:space="0" w:color="000000"/>
            </w:tcBorders>
            <w:vAlign w:val="center"/>
          </w:tcPr>
          <w:p>
            <w:pPr>
              <w:pStyle w:val="Normal"/>
              <w:jc w:val="center"/>
              <w:rPr>
                <w:rFonts w:ascii="Century" w:hAnsi="Century" w:eastAsia="Century"/>
                <w:sz w:val="18"/>
                <w:szCs w:val="18"/>
              </w:rPr>
            </w:pPr>
            <w:r>
              <w:rPr>
                <w:rFonts w:eastAsia="Century"/>
                <w:sz w:val="18"/>
                <w:szCs w:val="18"/>
              </w:rPr>
              <w:t>2025.8</w:t>
            </w:r>
          </w:p>
        </w:tc>
        <w:tc>
          <w:tcPr>
            <w:tcW w:w="2054" w:type="dxa"/>
            <w:tcBorders>
              <w:bottom w:val="single" w:sz="6" w:space="0" w:color="000000"/>
              <w:end w:val="single" w:sz="6" w:space="0" w:color="000000"/>
            </w:tcBorders>
          </w:tcPr>
          <w:p>
            <w:pPr>
              <w:pStyle w:val="Normal"/>
              <w:jc w:val="center"/>
              <w:rPr>
                <w:rFonts w:ascii="Century" w:hAnsi="Century" w:eastAsia="Century"/>
                <w:sz w:val="18"/>
                <w:szCs w:val="18"/>
              </w:rPr>
            </w:pPr>
            <w:r>
              <w:rPr>
                <w:rFonts w:eastAsia="Century"/>
                <w:sz w:val="18"/>
                <w:szCs w:val="18"/>
              </w:rPr>
              <w:t>MXa2025009159</w:t>
            </w:r>
          </w:p>
        </w:tc>
        <w:tc>
          <w:tcPr>
            <w:tcW w:w="3475" w:type="dxa"/>
            <w:tcBorders>
              <w:bottom w:val="single" w:sz="6" w:space="0" w:color="000000"/>
              <w:end w:val="single" w:sz="6" w:space="0" w:color="000000"/>
            </w:tcBorders>
          </w:tcPr>
          <w:p>
            <w:pPr>
              <w:pStyle w:val="Normal"/>
              <w:rPr>
                <w:rFonts w:ascii="Century" w:hAnsi="Century" w:eastAsia="Century"/>
                <w:sz w:val="18"/>
                <w:szCs w:val="18"/>
              </w:rPr>
            </w:pPr>
            <w:r>
              <w:rPr>
                <w:rFonts w:eastAsia="Century"/>
                <w:sz w:val="18"/>
                <w:szCs w:val="18"/>
                <w:lang w:val="es-MX"/>
              </w:rPr>
              <w:t>Bruno Senzio-Savino, Alfredo Gilbert</w:t>
            </w:r>
          </w:p>
        </w:tc>
      </w:tr>
      <w:tr>
        <w:trPr>
          <w:trHeight w:val="464" w:hRule="atLeast"/>
        </w:trPr>
        <w:tc>
          <w:tcPr>
            <w:tcW w:w="2862" w:type="dxa"/>
            <w:tcBorders>
              <w:start w:val="single" w:sz="6" w:space="0" w:color="000000"/>
              <w:bottom w:val="single" w:sz="4" w:space="0" w:color="000000"/>
              <w:end w:val="single" w:sz="6" w:space="0" w:color="000000"/>
            </w:tcBorders>
          </w:tcPr>
          <w:p>
            <w:pPr>
              <w:pStyle w:val="Normal"/>
              <w:ind w:endChars="-50"/>
              <w:jc w:val="start"/>
              <w:rPr>
                <w:rFonts w:ascii="Century" w:hAnsi="Century" w:eastAsia="Century"/>
                <w:sz w:val="18"/>
                <w:szCs w:val="18"/>
              </w:rPr>
            </w:pPr>
            <w:r>
              <w:rPr>
                <w:rFonts w:eastAsia="Century"/>
                <w:sz w:val="18"/>
                <w:szCs w:val="18"/>
              </w:rPr>
              <w:t>Electromagnetic transduction matrix system</w:t>
            </w:r>
          </w:p>
        </w:tc>
        <w:tc>
          <w:tcPr>
            <w:tcW w:w="636" w:type="dxa"/>
            <w:tcBorders>
              <w:bottom w:val="single" w:sz="4" w:space="0" w:color="000000"/>
              <w:end w:val="single" w:sz="6" w:space="0" w:color="000000"/>
            </w:tcBorders>
            <w:vAlign w:val="center"/>
          </w:tcPr>
          <w:p>
            <w:pPr>
              <w:pStyle w:val="Normal"/>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4" w:space="0" w:color="000000"/>
              <w:end w:val="single" w:sz="6" w:space="0" w:color="000000"/>
            </w:tcBorders>
            <w:vAlign w:val="center"/>
          </w:tcPr>
          <w:p>
            <w:pPr>
              <w:pStyle w:val="Normal"/>
              <w:jc w:val="center"/>
              <w:rPr>
                <w:rFonts w:ascii="Century" w:hAnsi="Century" w:eastAsia="Century"/>
                <w:sz w:val="18"/>
                <w:szCs w:val="18"/>
              </w:rPr>
            </w:pPr>
            <w:r>
              <w:rPr>
                <w:rFonts w:eastAsia="Century"/>
                <w:sz w:val="18"/>
                <w:szCs w:val="18"/>
              </w:rPr>
              <w:t>2024.1</w:t>
            </w:r>
          </w:p>
        </w:tc>
        <w:tc>
          <w:tcPr>
            <w:tcW w:w="2054" w:type="dxa"/>
            <w:tcBorders>
              <w:bottom w:val="single" w:sz="4" w:space="0" w:color="000000"/>
              <w:end w:val="single" w:sz="6" w:space="0" w:color="000000"/>
            </w:tcBorders>
          </w:tcPr>
          <w:p>
            <w:pPr>
              <w:pStyle w:val="Normal"/>
              <w:jc w:val="center"/>
              <w:rPr>
                <w:rFonts w:ascii="Century" w:hAnsi="Century" w:eastAsia="Century"/>
                <w:sz w:val="18"/>
                <w:szCs w:val="18"/>
              </w:rPr>
            </w:pPr>
            <w:r>
              <w:rPr>
                <w:rFonts w:eastAsia="Century"/>
                <w:sz w:val="18"/>
                <w:szCs w:val="18"/>
              </w:rPr>
              <w:t>MXa2023002399</w:t>
            </w:r>
          </w:p>
        </w:tc>
        <w:tc>
          <w:tcPr>
            <w:tcW w:w="3475" w:type="dxa"/>
            <w:tcBorders>
              <w:bottom w:val="single" w:sz="4" w:space="0" w:color="000000"/>
              <w:end w:val="single" w:sz="6" w:space="0" w:color="000000"/>
            </w:tcBorders>
          </w:tcPr>
          <w:p>
            <w:pPr>
              <w:pStyle w:val="Normal"/>
              <w:rPr>
                <w:rFonts w:ascii="Century" w:hAnsi="Century" w:eastAsia="Century"/>
                <w:sz w:val="18"/>
                <w:szCs w:val="18"/>
              </w:rPr>
            </w:pPr>
            <w:r>
              <w:rPr>
                <w:rFonts w:eastAsia="Century"/>
                <w:sz w:val="18"/>
                <w:szCs w:val="18"/>
                <w:lang w:val="es-MX"/>
              </w:rPr>
              <w:t>Bruno Senzio-Savino</w:t>
            </w:r>
          </w:p>
        </w:tc>
      </w:tr>
      <w:tr>
        <w:trPr>
          <w:trHeight w:val="487" w:hRule="atLeast"/>
        </w:trPr>
        <w:tc>
          <w:tcPr>
            <w:tcW w:w="2862" w:type="dxa"/>
            <w:tcBorders>
              <w:start w:val="single" w:sz="6" w:space="0" w:color="000000"/>
              <w:bottom w:val="single" w:sz="4" w:space="0" w:color="000000"/>
              <w:end w:val="single" w:sz="6" w:space="0" w:color="000000"/>
            </w:tcBorders>
          </w:tcPr>
          <w:p>
            <w:pPr>
              <w:pStyle w:val="Normal"/>
              <w:ind w:endChars="-50"/>
              <w:jc w:val="start"/>
              <w:rPr>
                <w:rFonts w:ascii="Century" w:hAnsi="Century" w:eastAsia="Century"/>
                <w:sz w:val="18"/>
                <w:szCs w:val="18"/>
              </w:rPr>
            </w:pPr>
            <w:r>
              <w:rPr>
                <w:rFonts w:eastAsia="Century"/>
                <w:sz w:val="18"/>
                <w:szCs w:val="18"/>
              </w:rPr>
              <w:t>Interactive biosignal processing system with sensor feedback</w:t>
            </w:r>
          </w:p>
        </w:tc>
        <w:tc>
          <w:tcPr>
            <w:tcW w:w="636" w:type="dxa"/>
            <w:tcBorders>
              <w:bottom w:val="single" w:sz="4" w:space="0" w:color="000000"/>
              <w:end w:val="single" w:sz="6" w:space="0" w:color="000000"/>
            </w:tcBorders>
            <w:vAlign w:val="center"/>
          </w:tcPr>
          <w:p>
            <w:pPr>
              <w:pStyle w:val="Normal"/>
              <w:jc w:val="center"/>
              <w:rPr>
                <w:rFonts w:ascii="Century" w:hAnsi="Century" w:eastAsia="Century"/>
                <w:sz w:val="18"/>
                <w:szCs w:val="18"/>
              </w:rPr>
            </w:pPr>
            <w:r>
              <w:rPr>
                <w:rFonts w:ascii="Century" w:hAnsi="Century" w:eastAsia="Century"/>
                <w:sz w:val="18"/>
                <w:szCs w:val="18"/>
              </w:rPr>
              <w:t>単著</w:t>
            </w:r>
          </w:p>
        </w:tc>
        <w:tc>
          <w:tcPr>
            <w:tcW w:w="911" w:type="dxa"/>
            <w:tcBorders>
              <w:bottom w:val="single" w:sz="4" w:space="0" w:color="000000"/>
              <w:end w:val="single" w:sz="6" w:space="0" w:color="000000"/>
            </w:tcBorders>
            <w:vAlign w:val="center"/>
          </w:tcPr>
          <w:p>
            <w:pPr>
              <w:pStyle w:val="Normal"/>
              <w:jc w:val="center"/>
              <w:rPr>
                <w:rFonts w:ascii="Century" w:hAnsi="Century" w:eastAsia="Century"/>
                <w:sz w:val="18"/>
                <w:szCs w:val="18"/>
              </w:rPr>
            </w:pPr>
            <w:r>
              <w:rPr>
                <w:rFonts w:eastAsia="Century"/>
                <w:sz w:val="18"/>
                <w:szCs w:val="18"/>
              </w:rPr>
              <w:t>2018.9</w:t>
            </w:r>
          </w:p>
        </w:tc>
        <w:tc>
          <w:tcPr>
            <w:tcW w:w="2054" w:type="dxa"/>
            <w:tcBorders>
              <w:bottom w:val="single" w:sz="4" w:space="0" w:color="000000"/>
              <w:end w:val="single" w:sz="6" w:space="0" w:color="000000"/>
            </w:tcBorders>
          </w:tcPr>
          <w:p>
            <w:pPr>
              <w:pStyle w:val="Normal"/>
              <w:jc w:val="center"/>
              <w:rPr>
                <w:rFonts w:ascii="Century" w:hAnsi="Century" w:eastAsia="Century"/>
                <w:sz w:val="18"/>
                <w:szCs w:val="18"/>
              </w:rPr>
            </w:pPr>
            <w:r>
              <w:rPr>
                <w:rFonts w:eastAsia="Century"/>
                <w:sz w:val="18"/>
                <w:szCs w:val="18"/>
              </w:rPr>
              <w:t>MXa2018011165</w:t>
            </w:r>
          </w:p>
        </w:tc>
        <w:tc>
          <w:tcPr>
            <w:tcW w:w="3475" w:type="dxa"/>
            <w:tcBorders>
              <w:bottom w:val="single" w:sz="4" w:space="0" w:color="000000"/>
              <w:end w:val="single" w:sz="6" w:space="0" w:color="000000"/>
            </w:tcBorders>
          </w:tcPr>
          <w:p>
            <w:pPr>
              <w:pStyle w:val="Normal"/>
              <w:rPr>
                <w:rFonts w:ascii="Century" w:hAnsi="Century" w:eastAsia="Century"/>
                <w:sz w:val="18"/>
                <w:szCs w:val="18"/>
              </w:rPr>
            </w:pPr>
            <w:r>
              <w:rPr>
                <w:rFonts w:eastAsia="Century"/>
                <w:sz w:val="18"/>
                <w:szCs w:val="18"/>
                <w:lang w:val="es-MX"/>
              </w:rPr>
              <w:t>Bruno Senzio-Savino</w:t>
            </w:r>
          </w:p>
        </w:tc>
      </w:tr>
      <w:tr>
        <w:trPr>
          <w:trHeight w:val="540" w:hRule="atLeast"/>
        </w:trPr>
        <w:tc>
          <w:tcPr>
            <w:tcW w:w="2862" w:type="dxa"/>
            <w:tcBorders>
              <w:top w:val="single" w:sz="4" w:space="0" w:color="000000"/>
              <w:start w:val="single" w:sz="6" w:space="0" w:color="000000"/>
              <w:bottom w:val="single" w:sz="6" w:space="0" w:color="000000"/>
              <w:end w:val="single" w:sz="6" w:space="0" w:color="000000"/>
            </w:tcBorders>
          </w:tcPr>
          <w:p>
            <w:pPr>
              <w:pStyle w:val="Normal"/>
              <w:ind w:endChars="-50"/>
              <w:jc w:val="start"/>
              <w:rPr>
                <w:rFonts w:ascii="Century" w:hAnsi="Century" w:eastAsia="Century"/>
                <w:sz w:val="18"/>
                <w:szCs w:val="18"/>
              </w:rPr>
            </w:pPr>
            <w:r>
              <w:rPr>
                <w:rFonts w:eastAsia="Century"/>
                <w:sz w:val="18"/>
                <w:szCs w:val="18"/>
              </w:rPr>
              <w:t>Modular interface for device and actuator control with mind control</w:t>
            </w:r>
          </w:p>
        </w:tc>
        <w:tc>
          <w:tcPr>
            <w:tcW w:w="636" w:type="dxa"/>
            <w:tcBorders>
              <w:top w:val="single" w:sz="4" w:space="0" w:color="000000"/>
              <w:bottom w:val="single" w:sz="6" w:space="0" w:color="000000"/>
              <w:end w:val="single" w:sz="6" w:space="0" w:color="000000"/>
            </w:tcBorders>
          </w:tcPr>
          <w:p>
            <w:pPr>
              <w:pStyle w:val="Normal"/>
              <w:jc w:val="center"/>
              <w:rPr>
                <w:rFonts w:ascii="Century" w:hAnsi="Century" w:eastAsia="Century"/>
                <w:sz w:val="18"/>
                <w:szCs w:val="18"/>
              </w:rPr>
            </w:pPr>
            <w:r>
              <w:rPr>
                <w:rFonts w:ascii="Century" w:hAnsi="Century" w:eastAsia="Century"/>
                <w:sz w:val="18"/>
                <w:szCs w:val="18"/>
              </w:rPr>
              <w:t>共著</w:t>
            </w:r>
          </w:p>
          <w:p>
            <w:pPr>
              <w:pStyle w:val="Normal"/>
              <w:jc w:val="center"/>
              <w:rPr>
                <w:rFonts w:ascii="Century" w:hAnsi="Century" w:eastAsia="Century"/>
                <w:sz w:val="18"/>
                <w:szCs w:val="18"/>
              </w:rPr>
            </w:pPr>
            <w:r>
              <w:rPr>
                <w:rFonts w:eastAsia="Century"/>
                <w:sz w:val="18"/>
                <w:szCs w:val="18"/>
              </w:rPr>
            </w:r>
          </w:p>
        </w:tc>
        <w:tc>
          <w:tcPr>
            <w:tcW w:w="911" w:type="dxa"/>
            <w:tcBorders>
              <w:top w:val="single" w:sz="4" w:space="0" w:color="000000"/>
              <w:bottom w:val="single" w:sz="6" w:space="0" w:color="000000"/>
              <w:end w:val="single" w:sz="6" w:space="0" w:color="000000"/>
            </w:tcBorders>
          </w:tcPr>
          <w:p>
            <w:pPr>
              <w:pStyle w:val="Normal"/>
              <w:jc w:val="center"/>
              <w:rPr>
                <w:rFonts w:ascii="Century" w:hAnsi="Century" w:eastAsia="Century"/>
                <w:sz w:val="18"/>
                <w:szCs w:val="18"/>
              </w:rPr>
            </w:pPr>
            <w:r>
              <w:rPr>
                <w:rFonts w:eastAsia="Century"/>
                <w:sz w:val="18"/>
                <w:szCs w:val="18"/>
              </w:rPr>
              <w:t>2012.9</w:t>
            </w:r>
          </w:p>
        </w:tc>
        <w:tc>
          <w:tcPr>
            <w:tcW w:w="2054" w:type="dxa"/>
            <w:tcBorders>
              <w:top w:val="single" w:sz="4" w:space="0" w:color="000000"/>
              <w:bottom w:val="single" w:sz="6" w:space="0" w:color="000000"/>
              <w:end w:val="single" w:sz="6" w:space="0" w:color="000000"/>
            </w:tcBorders>
          </w:tcPr>
          <w:p>
            <w:pPr>
              <w:pStyle w:val="Normal"/>
              <w:jc w:val="center"/>
              <w:rPr>
                <w:rFonts w:ascii="Century" w:hAnsi="Century" w:eastAsia="Century"/>
                <w:sz w:val="18"/>
                <w:szCs w:val="18"/>
              </w:rPr>
            </w:pPr>
            <w:r>
              <w:rPr>
                <w:rFonts w:eastAsia="Century"/>
                <w:sz w:val="18"/>
                <w:szCs w:val="18"/>
              </w:rPr>
              <w:t>MXa2012010393</w:t>
            </w:r>
          </w:p>
        </w:tc>
        <w:tc>
          <w:tcPr>
            <w:tcW w:w="3475" w:type="dxa"/>
            <w:tcBorders>
              <w:top w:val="single" w:sz="4" w:space="0" w:color="000000"/>
              <w:bottom w:val="single" w:sz="6" w:space="0" w:color="000000"/>
              <w:end w:val="single" w:sz="6" w:space="0" w:color="000000"/>
            </w:tcBorders>
          </w:tcPr>
          <w:p>
            <w:pPr>
              <w:pStyle w:val="Normal"/>
              <w:rPr>
                <w:rFonts w:ascii="Century" w:hAnsi="Century" w:eastAsia="Century"/>
                <w:sz w:val="18"/>
                <w:szCs w:val="18"/>
              </w:rPr>
            </w:pPr>
            <w:r>
              <w:rPr>
                <w:rFonts w:eastAsia="Century"/>
                <w:sz w:val="18"/>
                <w:szCs w:val="18"/>
                <w:lang w:val="es-MX"/>
              </w:rPr>
              <w:t>Jorge Ivan Macias, Stephanie Davalos, Bruno Senzio-Savino</w:t>
            </w:r>
          </w:p>
        </w:tc>
      </w:tr>
    </w:tbl>
    <w:p>
      <w:pPr>
        <w:pStyle w:val="Style13"/>
        <w:spacing w:lineRule="exact" w:line="242"/>
        <w:rPr>
          <w:spacing w:val="0"/>
          <w:lang w:val="es-MX"/>
        </w:rPr>
      </w:pPr>
      <w:r>
        <w:rPr>
          <w:spacing w:val="0"/>
          <w:lang w:val="es-MX"/>
        </w:rPr>
      </w:r>
    </w:p>
    <w:tbl>
      <w:tblPr>
        <w:tblW w:w="9480" w:type="dxa"/>
        <w:jc w:val="start"/>
        <w:tblInd w:w="219" w:type="dxa"/>
        <w:tblLayout w:type="fixed"/>
        <w:tblCellMar>
          <w:top w:w="0" w:type="dxa"/>
          <w:start w:w="99" w:type="dxa"/>
          <w:bottom w:w="0" w:type="dxa"/>
          <w:end w:w="99" w:type="dxa"/>
        </w:tblCellMar>
        <w:tblLook w:firstRow="0" w:noVBand="0" w:lastRow="0" w:firstColumn="0" w:lastColumn="0" w:noHBand="0" w:val="0000"/>
      </w:tblPr>
      <w:tblGrid>
        <w:gridCol w:w="2880"/>
        <w:gridCol w:w="6600"/>
      </w:tblGrid>
      <w:tr>
        <w:trPr>
          <w:trHeight w:val="327" w:hRule="atLeast"/>
        </w:trPr>
        <w:tc>
          <w:tcPr>
            <w:tcW w:w="2880" w:type="dxa"/>
            <w:tcBorders>
              <w:top w:val="single" w:sz="6" w:space="0" w:color="000000"/>
              <w:start w:val="single" w:sz="6" w:space="0" w:color="000000"/>
              <w:bottom w:val="single" w:sz="6" w:space="0" w:color="000000"/>
              <w:end w:val="single" w:sz="6" w:space="0" w:color="000000"/>
            </w:tcBorders>
          </w:tcPr>
          <w:p>
            <w:pPr>
              <w:pStyle w:val="Style13"/>
              <w:jc w:val="center"/>
              <w:rPr/>
            </w:pPr>
            <w:r>
              <w:rPr>
                <w:rFonts w:ascii="MS Mincho" w:hAnsi="MS Mincho" w:hint="eastAsia"/>
                <w:sz w:val="22"/>
              </w:rPr>
              <w:t>研究論文</w:t>
            </w:r>
          </w:p>
        </w:tc>
        <w:tc>
          <w:tcPr>
            <w:tcW w:w="6600" w:type="dxa"/>
            <w:tcBorders>
              <w:top w:val="single" w:sz="6" w:space="0" w:color="000000"/>
              <w:start w:val="single" w:sz="6" w:space="0" w:color="000000"/>
              <w:bottom w:val="single" w:sz="6" w:space="0" w:color="000000"/>
              <w:end w:val="single" w:sz="6" w:space="0" w:color="000000"/>
            </w:tcBorders>
          </w:tcPr>
          <w:p>
            <w:pPr>
              <w:pStyle w:val="Style13"/>
              <w:ind w:hanging="0" w:start="0"/>
              <w:jc w:val="center"/>
              <w:rPr/>
            </w:pPr>
            <w:r>
              <w:rPr>
                <w:rFonts w:ascii="MS Mincho" w:hAnsi="MS Mincho"/>
                <w:sz w:val="22"/>
              </w:rPr>
              <w:t>22</w:t>
            </w:r>
            <w:r>
              <w:rPr>
                <w:rFonts w:ascii="MS Mincho" w:hAnsi="MS Mincho" w:hint="eastAsia"/>
                <w:sz w:val="22"/>
              </w:rPr>
              <w:t>編</w:t>
            </w:r>
          </w:p>
        </w:tc>
      </w:tr>
      <w:tr>
        <w:trPr>
          <w:trHeight w:val="371" w:hRule="atLeast"/>
        </w:trPr>
        <w:tc>
          <w:tcPr>
            <w:tcW w:w="2880" w:type="dxa"/>
            <w:tcBorders>
              <w:top w:val="single" w:sz="6" w:space="0" w:color="000000"/>
              <w:start w:val="single" w:sz="6" w:space="0" w:color="000000"/>
              <w:bottom w:val="single" w:sz="6" w:space="0" w:color="000000"/>
              <w:end w:val="single" w:sz="6" w:space="0" w:color="000000"/>
            </w:tcBorders>
          </w:tcPr>
          <w:p>
            <w:pPr>
              <w:pStyle w:val="Style13"/>
              <w:jc w:val="center"/>
              <w:rPr/>
            </w:pPr>
            <w:r>
              <w:rPr>
                <w:rFonts w:ascii="MS Mincho" w:hAnsi="MS Mincho" w:hint="eastAsia"/>
                <w:sz w:val="22"/>
              </w:rPr>
              <w:t>参考論文</w:t>
            </w:r>
          </w:p>
        </w:tc>
        <w:tc>
          <w:tcPr>
            <w:tcW w:w="6600" w:type="dxa"/>
            <w:tcBorders>
              <w:top w:val="single" w:sz="6" w:space="0" w:color="000000"/>
              <w:start w:val="single" w:sz="6" w:space="0" w:color="000000"/>
              <w:bottom w:val="single" w:sz="6" w:space="0" w:color="000000"/>
              <w:end w:val="single" w:sz="6" w:space="0" w:color="000000"/>
            </w:tcBorders>
          </w:tcPr>
          <w:p>
            <w:pPr>
              <w:pStyle w:val="Style13"/>
              <w:ind w:hanging="0" w:start="0"/>
              <w:jc w:val="center"/>
              <w:rPr/>
            </w:pPr>
            <w:r>
              <w:rPr>
                <w:rFonts w:hint="eastAsia" w:ascii="MS Mincho" w:hAnsi="MS Mincho"/>
                <w:sz w:val="22"/>
                <w:lang w:val="es-MX"/>
              </w:rPr>
              <w:t>8</w:t>
            </w:r>
            <w:r>
              <w:rPr>
                <w:rFonts w:ascii="MS Mincho" w:hAnsi="MS Mincho" w:hint="eastAsia"/>
                <w:sz w:val="22"/>
              </w:rPr>
              <w:t>編</w:t>
            </w:r>
          </w:p>
        </w:tc>
      </w:tr>
      <w:tr>
        <w:trPr>
          <w:trHeight w:val="326" w:hRule="atLeast"/>
        </w:trPr>
        <w:tc>
          <w:tcPr>
            <w:tcW w:w="2880" w:type="dxa"/>
            <w:tcBorders>
              <w:top w:val="single" w:sz="6" w:space="0" w:color="000000"/>
              <w:start w:val="single" w:sz="6" w:space="0" w:color="000000"/>
              <w:bottom w:val="single" w:sz="6" w:space="0" w:color="000000"/>
              <w:end w:val="single" w:sz="6" w:space="0" w:color="000000"/>
            </w:tcBorders>
          </w:tcPr>
          <w:p>
            <w:pPr>
              <w:pStyle w:val="Style13"/>
              <w:jc w:val="center"/>
              <w:rPr/>
            </w:pPr>
            <w:r>
              <w:rPr/>
              <w:t>特許</w:t>
            </w:r>
          </w:p>
        </w:tc>
        <w:tc>
          <w:tcPr>
            <w:tcW w:w="6600" w:type="dxa"/>
            <w:tcBorders>
              <w:top w:val="single" w:sz="6" w:space="0" w:color="000000"/>
              <w:start w:val="single" w:sz="6" w:space="0" w:color="000000"/>
              <w:bottom w:val="single" w:sz="6" w:space="0" w:color="000000"/>
              <w:end w:val="single" w:sz="6" w:space="0" w:color="000000"/>
            </w:tcBorders>
          </w:tcPr>
          <w:p>
            <w:pPr>
              <w:pStyle w:val="Style13"/>
              <w:ind w:hanging="0" w:start="0"/>
              <w:jc w:val="center"/>
              <w:rPr/>
            </w:pPr>
            <w:r>
              <w:rPr>
                <w:rFonts w:hint="eastAsia" w:ascii="MS Mincho" w:hAnsi="MS Mincho"/>
                <w:sz w:val="22"/>
              </w:rPr>
              <w:t>5</w:t>
            </w:r>
            <w:r>
              <w:rPr>
                <w:rFonts w:ascii="MS Mincho" w:hAnsi="MS Mincho" w:hint="eastAsia"/>
                <w:sz w:val="22"/>
              </w:rPr>
              <w:t>編</w:t>
            </w:r>
          </w:p>
        </w:tc>
      </w:tr>
    </w:tbl>
    <w:p>
      <w:pPr>
        <w:pStyle w:val="Style13"/>
        <w:rPr>
          <w:spacing w:val="0"/>
        </w:rPr>
      </w:pPr>
      <w:r>
        <w:rPr>
          <w:spacing w:val="0"/>
        </w:rPr>
      </w:r>
    </w:p>
    <w:p>
      <w:pPr>
        <w:pStyle w:val="Style13"/>
        <w:rPr>
          <w:spacing w:val="0"/>
        </w:rPr>
      </w:pPr>
      <w:r>
        <w:rPr>
          <w:spacing w:val="0"/>
        </w:rPr>
        <w:t xml:space="preserve">【一般講演】 </w:t>
      </w:r>
    </w:p>
    <w:p>
      <w:pPr>
        <w:pStyle w:val="Style13"/>
        <w:rPr>
          <w:spacing w:val="0"/>
        </w:rPr>
      </w:pPr>
      <w:r>
        <w:rPr>
          <w:spacing w:val="0"/>
        </w:rPr>
      </w:r>
    </w:p>
    <w:p>
      <w:pPr>
        <w:pStyle w:val="Style13"/>
        <w:rPr>
          <w:spacing w:val="0"/>
        </w:rPr>
      </w:pPr>
      <w:r>
        <w:rPr>
          <w:rStyle w:val="Strong"/>
          <w:spacing w:val="0"/>
        </w:rPr>
        <w:t>2012</w:t>
      </w:r>
      <w:r>
        <w:rPr>
          <w:rStyle w:val="Strong"/>
          <w:spacing w:val="0"/>
        </w:rPr>
        <w:t>年</w:t>
      </w:r>
      <w:r>
        <w:rPr>
          <w:rStyle w:val="Strong"/>
          <w:spacing w:val="0"/>
        </w:rPr>
        <w:t>3</w:t>
      </w:r>
      <w:r>
        <w:rPr>
          <w:rStyle w:val="Strong"/>
          <w:spacing w:val="0"/>
        </w:rPr>
        <w:t>月　メキシコ国立工科大学（</w:t>
      </w:r>
      <w:r>
        <w:rPr>
          <w:rStyle w:val="Strong"/>
          <w:spacing w:val="0"/>
        </w:rPr>
        <w:t>Instituto Politécnico Nacional</w:t>
      </w:r>
      <w:r>
        <w:rPr>
          <w:rStyle w:val="Strong"/>
          <w:spacing w:val="0"/>
        </w:rPr>
        <w:t>）</w:t>
      </w:r>
      <w:r>
        <w:rPr>
          <w:spacing w:val="0"/>
        </w:rPr>
        <w:br/>
      </w:r>
      <w:r>
        <w:rPr>
          <w:rStyle w:val="Strong"/>
          <w:spacing w:val="0"/>
        </w:rPr>
        <w:t>「</w:t>
      </w:r>
      <w:r>
        <w:rPr>
          <w:rStyle w:val="Strong"/>
          <w:spacing w:val="0"/>
        </w:rPr>
        <w:t>Arduino and Applications in the Industry</w:t>
      </w:r>
      <w:r>
        <w:rPr>
          <w:rStyle w:val="Strong"/>
          <w:spacing w:val="0"/>
        </w:rPr>
        <w:t>」講演</w:t>
      </w:r>
      <w:r>
        <w:rPr>
          <w:spacing w:val="0"/>
        </w:rPr>
        <w:br/>
        <w:t>Arduino</w:t>
      </w:r>
      <w:r>
        <w:rPr>
          <w:spacing w:val="0"/>
        </w:rPr>
        <w:t xml:space="preserve">の学術・産業分野における応用と、両分野の連携について、実演・体験を交えて紹介した。 </w:t>
      </w:r>
    </w:p>
    <w:p>
      <w:pPr>
        <w:pStyle w:val="Style13"/>
        <w:rPr>
          <w:spacing w:val="0"/>
        </w:rPr>
      </w:pPr>
      <w:r>
        <w:rPr>
          <w:spacing w:val="0"/>
        </w:rPr>
      </w:r>
    </w:p>
    <w:p>
      <w:pPr>
        <w:pStyle w:val="Style13"/>
        <w:rPr>
          <w:spacing w:val="0"/>
        </w:rPr>
      </w:pPr>
      <w:r>
        <w:rPr>
          <w:spacing w:val="0"/>
        </w:rPr>
        <w:t xml:space="preserve">【ワークショップ・チュートリアル】 </w:t>
      </w:r>
    </w:p>
    <w:p>
      <w:pPr>
        <w:pStyle w:val="Style13"/>
        <w:rPr>
          <w:spacing w:val="0"/>
        </w:rPr>
      </w:pPr>
      <w:r>
        <w:rPr>
          <w:spacing w:val="0"/>
        </w:rPr>
      </w:r>
    </w:p>
    <w:p>
      <w:pPr>
        <w:pStyle w:val="Style13"/>
        <w:rPr>
          <w:spacing w:val="0"/>
        </w:rPr>
      </w:pPr>
      <w:r>
        <w:rPr>
          <w:rStyle w:val="Strong"/>
          <w:spacing w:val="0"/>
        </w:rPr>
        <w:t>2026</w:t>
      </w:r>
      <w:r>
        <w:rPr>
          <w:rStyle w:val="Strong"/>
          <w:spacing w:val="0"/>
        </w:rPr>
        <w:t>年</w:t>
      </w:r>
      <w:r>
        <w:rPr>
          <w:rStyle w:val="Strong"/>
          <w:spacing w:val="0"/>
        </w:rPr>
        <w:t>8</w:t>
      </w:r>
      <w:r>
        <w:rPr>
          <w:rStyle w:val="Strong"/>
          <w:spacing w:val="0"/>
        </w:rPr>
        <w:t>月　</w:t>
      </w:r>
      <w:r>
        <w:rPr>
          <w:rStyle w:val="Strong"/>
          <w:spacing w:val="0"/>
        </w:rPr>
        <w:t>ALIFE26</w:t>
      </w:r>
      <w:r>
        <w:rPr>
          <w:spacing w:val="0"/>
        </w:rPr>
        <w:br/>
      </w:r>
      <w:r>
        <w:rPr>
          <w:rStyle w:val="Strong"/>
          <w:spacing w:val="0"/>
        </w:rPr>
        <w:t>「</w:t>
      </w:r>
      <w:r>
        <w:rPr>
          <w:rStyle w:val="Strong"/>
          <w:spacing w:val="0"/>
        </w:rPr>
        <w:t>Hands-on Tutorial on Brain–Computer Interfaces (BCI)</w:t>
      </w:r>
      <w:r>
        <w:rPr>
          <w:rStyle w:val="Strong"/>
          <w:spacing w:val="0"/>
        </w:rPr>
        <w:t>」企画・運営</w:t>
      </w:r>
      <w:r>
        <w:rPr>
          <w:spacing w:val="0"/>
        </w:rPr>
        <w:br/>
      </w:r>
      <w:r>
        <w:rPr>
          <w:spacing w:val="0"/>
        </w:rPr>
        <w:t>脳信号を適応・進化するシステムに統合する方法を探究する、体験型</w:t>
      </w:r>
      <w:r>
        <w:rPr>
          <w:spacing w:val="0"/>
        </w:rPr>
        <w:t>BCI</w:t>
      </w:r>
      <w:r>
        <w:rPr>
          <w:spacing w:val="0"/>
        </w:rPr>
        <w:t>チュートリアルを共同企画・運営した。</w:t>
      </w:r>
      <w:r>
        <w:rPr>
          <w:spacing w:val="0"/>
        </w:rPr>
        <w:br/>
      </w:r>
      <w:r>
        <w:rPr>
          <w:rStyle w:val="Strong"/>
          <w:spacing w:val="0"/>
        </w:rPr>
        <w:t>共同主催者：</w:t>
      </w:r>
      <w:r>
        <w:rPr>
          <w:rStyle w:val="Strong"/>
          <w:spacing w:val="0"/>
        </w:rPr>
        <w:t>B. Senzio-Savino</w:t>
      </w:r>
      <w:r>
        <w:rPr>
          <w:rStyle w:val="Strong"/>
          <w:spacing w:val="0"/>
        </w:rPr>
        <w:t>、</w:t>
      </w:r>
      <w:r>
        <w:rPr>
          <w:rStyle w:val="Strong"/>
          <w:spacing w:val="0"/>
        </w:rPr>
        <w:t>M. Khosravy</w:t>
      </w:r>
      <w:r>
        <w:rPr>
          <w:rStyle w:val="Strong"/>
          <w:spacing w:val="0"/>
        </w:rPr>
        <w:t>、</w:t>
      </w:r>
      <w:r>
        <w:rPr>
          <w:rStyle w:val="Strong"/>
          <w:spacing w:val="0"/>
        </w:rPr>
        <w:t>A. Adams</w:t>
      </w:r>
      <w:r>
        <w:rPr>
          <w:rStyle w:val="Strong"/>
          <w:spacing w:val="0"/>
        </w:rPr>
        <w:t>、</w:t>
      </w:r>
      <w:r>
        <w:rPr>
          <w:rStyle w:val="Strong"/>
          <w:spacing w:val="0"/>
        </w:rPr>
        <w:t>O. Witkowsky</w:t>
      </w:r>
      <w:r>
        <w:rPr>
          <w:spacing w:val="0"/>
        </w:rPr>
        <w:t xml:space="preserve"> </w:t>
      </w:r>
    </w:p>
    <w:p>
      <w:pPr>
        <w:pStyle w:val="Style13"/>
        <w:rPr>
          <w:spacing w:val="0"/>
        </w:rPr>
      </w:pPr>
      <w:r>
        <w:rPr>
          <w:spacing w:val="0"/>
        </w:rPr>
      </w:r>
    </w:p>
    <w:p>
      <w:pPr>
        <w:pStyle w:val="Style13"/>
        <w:rPr>
          <w:spacing w:val="0"/>
        </w:rPr>
      </w:pPr>
      <w:r>
        <w:rPr>
          <w:spacing w:val="0"/>
        </w:rPr>
        <w:t xml:space="preserve">【メディア出演】 </w:t>
      </w:r>
    </w:p>
    <w:p>
      <w:pPr>
        <w:pStyle w:val="Style13"/>
        <w:rPr>
          <w:spacing w:val="0"/>
        </w:rPr>
      </w:pPr>
      <w:r>
        <w:rPr>
          <w:spacing w:val="0"/>
        </w:rPr>
      </w:r>
    </w:p>
    <w:p>
      <w:pPr>
        <w:pStyle w:val="Style13"/>
        <w:rPr>
          <w:spacing w:val="0"/>
        </w:rPr>
      </w:pPr>
      <w:r>
        <w:rPr>
          <w:rStyle w:val="Strong"/>
          <w:spacing w:val="0"/>
        </w:rPr>
        <w:t>2026</w:t>
      </w:r>
      <w:r>
        <w:rPr>
          <w:rStyle w:val="Strong"/>
          <w:spacing w:val="0"/>
        </w:rPr>
        <w:t>年</w:t>
      </w:r>
      <w:r>
        <w:rPr>
          <w:rStyle w:val="Strong"/>
          <w:spacing w:val="0"/>
        </w:rPr>
        <w:t>5</w:t>
      </w:r>
      <w:r>
        <w:rPr>
          <w:rStyle w:val="Strong"/>
          <w:spacing w:val="0"/>
        </w:rPr>
        <w:t>月　</w:t>
      </w:r>
      <w:r>
        <w:rPr>
          <w:rStyle w:val="Strong"/>
          <w:spacing w:val="0"/>
        </w:rPr>
        <w:t>Cross Labs</w:t>
      </w:r>
      <w:r>
        <w:rPr>
          <w:rStyle w:val="Strong"/>
          <w:spacing w:val="0"/>
        </w:rPr>
        <w:t>（</w:t>
      </w:r>
      <w:r>
        <w:rPr>
          <w:rStyle w:val="Strong"/>
          <w:spacing w:val="0"/>
        </w:rPr>
        <w:t>YouTube</w:t>
      </w:r>
      <w:r>
        <w:rPr>
          <w:rStyle w:val="Strong"/>
          <w:spacing w:val="0"/>
        </w:rPr>
        <w:t>）</w:t>
      </w:r>
      <w:r>
        <w:rPr>
          <w:spacing w:val="0"/>
        </w:rPr>
        <w:br/>
      </w:r>
      <w:r>
        <w:rPr>
          <w:rStyle w:val="Strong"/>
          <w:spacing w:val="0"/>
        </w:rPr>
        <w:t>「</w:t>
      </w:r>
      <w:r>
        <w:rPr>
          <w:rStyle w:val="Strong"/>
          <w:spacing w:val="0"/>
        </w:rPr>
        <w:t>Vegetables Here, Games There: BCI and New Horizons</w:t>
      </w:r>
      <w:r>
        <w:rPr>
          <w:rStyle w:val="Strong"/>
          <w:spacing w:val="0"/>
        </w:rPr>
        <w:t>」インタビュー出演（</w:t>
      </w:r>
      <w:r>
        <w:rPr>
          <w:rStyle w:val="Strong"/>
          <w:spacing w:val="0"/>
        </w:rPr>
        <w:t>A. Adam</w:t>
      </w:r>
      <w:r>
        <w:rPr>
          <w:rStyle w:val="Strong"/>
          <w:spacing w:val="0"/>
        </w:rPr>
        <w:t>s</w:t>
      </w:r>
      <w:r>
        <w:rPr>
          <w:rStyle w:val="Strong"/>
          <w:spacing w:val="0"/>
        </w:rPr>
        <w:t>、</w:t>
      </w:r>
      <w:r>
        <w:rPr>
          <w:rStyle w:val="Strong"/>
          <w:spacing w:val="0"/>
        </w:rPr>
        <w:t>B. Senzio-Savino</w:t>
      </w:r>
      <w:r>
        <w:rPr>
          <w:rStyle w:val="Strong"/>
          <w:spacing w:val="0"/>
        </w:rPr>
        <w:t>）</w:t>
      </w:r>
      <w:r>
        <w:rPr>
          <w:spacing w:val="0"/>
        </w:rPr>
        <w:br/>
      </w:r>
      <w:r>
        <w:rPr>
          <w:spacing w:val="0"/>
        </w:rPr>
        <w:t>ゲーム機などの非従来型計算環境を用いた人工生命研究から、実用的なブレイン・コンピュータ・インターフェース（</w:t>
      </w:r>
      <w:r>
        <w:rPr>
          <w:spacing w:val="0"/>
        </w:rPr>
        <w:t>BCI</w:t>
      </w:r>
      <w:r>
        <w:rPr>
          <w:spacing w:val="0"/>
        </w:rPr>
        <w:t xml:space="preserve">）への展開について紹介した。 </w:t>
      </w:r>
    </w:p>
    <w:sectPr>
      <w:type w:val="nextPage"/>
      <w:pgSz w:w="11906" w:h="16838"/>
      <w:pgMar w:left="1134" w:right="85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entury">
    <w:charset w:val="00" w:characterSet="windows-1252"/>
    <w:family w:val="roman"/>
    <w:pitch w:val="variable"/>
  </w:font>
  <w:font w:name="MS Mincho">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20"/>
  <w:autoHyphenation w:val="true"/>
  <w:hyphenationZone w:val="425"/>
  <w:doNotHyphenateCaps/>
  <w:compat>
    <w:balanceSingleByteDoubleByteWidth/>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entury" w:hAnsi="Century" w:eastAsia="MS Mincho" w:cs="Times New Roman"/>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both"/>
      <w:textAlignment w:val="baseline"/>
    </w:pPr>
    <w:rPr>
      <w:rFonts w:ascii="Century" w:hAnsi="Century" w:eastAsia="Mincho" w:cs="Times New Roman"/>
      <w:color w:val="auto"/>
      <w:kern w:val="2"/>
      <w:sz w:val="21"/>
      <w:szCs w:val="20"/>
      <w:lang w:val="en-US" w:eastAsia="ja-JP" w:bidi="ar-SA"/>
    </w:rPr>
  </w:style>
  <w:style w:type="paragraph" w:styleId="Heading3">
    <w:name w:val="heading 3"/>
    <w:basedOn w:val="Heading"/>
    <w:next w:val="BodyText"/>
    <w:qFormat/>
    <w:pPr>
      <w:spacing w:before="140" w:after="120"/>
      <w:outlineLvl w:val="2"/>
    </w:pPr>
    <w:rPr>
      <w:rFonts w:ascii="Liberation Serif" w:hAnsi="Liberation Serif" w:eastAsia="Yu Mincho" w:cs="Tahoma"/>
      <w:b/>
      <w:bCs/>
      <w:sz w:val="28"/>
      <w:szCs w:val="28"/>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dc5a2d"/>
    <w:rPr>
      <w:rFonts w:eastAsia="Mincho"/>
      <w:kern w:val="2"/>
      <w:sz w:val="21"/>
    </w:rPr>
  </w:style>
  <w:style w:type="character" w:styleId="PiedepginaCar" w:customStyle="1">
    <w:name w:val="Pie de página Car"/>
    <w:basedOn w:val="DefaultParagraphFont"/>
    <w:link w:val="Footer"/>
    <w:uiPriority w:val="99"/>
    <w:qFormat/>
    <w:rsid w:val="00dc5a2d"/>
    <w:rPr>
      <w:rFonts w:eastAsia="Mincho"/>
      <w:kern w:val="2"/>
      <w:sz w:val="21"/>
    </w:rPr>
  </w:style>
  <w:style w:type="character" w:styleId="TextoindependienteCar" w:customStyle="1">
    <w:name w:val="Texto independiente Car"/>
    <w:basedOn w:val="DefaultParagraphFont"/>
    <w:qFormat/>
    <w:rsid w:val="00297536"/>
    <w:rPr>
      <w:rFonts w:ascii="MS Mincho" w:hAnsi="MS Mincho"/>
      <w:spacing w:val="-2"/>
      <w:kern w:val="2"/>
    </w:rPr>
  </w:style>
  <w:style w:type="character" w:styleId="yshortcuts" w:customStyle="1">
    <w:name w:val="yshortcuts"/>
    <w:qFormat/>
    <w:rsid w:val="005b0da3"/>
    <w:rPr/>
  </w:style>
  <w:style w:type="character" w:styleId="Hyperlink">
    <w:name w:val="Hyperlink"/>
    <w:basedOn w:val="DefaultParagraphFont"/>
    <w:uiPriority w:val="99"/>
    <w:semiHidden/>
    <w:unhideWhenUsed/>
    <w:rsid w:val="00ce26d7"/>
    <w:rPr>
      <w:color w:val="0000FF"/>
      <w:u w:val="single"/>
    </w:rPr>
  </w:style>
  <w:style w:type="character" w:styleId="Emphasis">
    <w:name w:val="Emphasis"/>
    <w:qFormat/>
    <w:rPr>
      <w:i/>
      <w:iCs/>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TextoindependienteCar"/>
    <w:rsid w:val="00297536"/>
    <w:pPr>
      <w:snapToGrid w:val="false"/>
      <w:spacing w:lineRule="atLeast" w:line="240"/>
      <w:jc w:val="start"/>
      <w:textAlignment w:val="auto"/>
    </w:pPr>
    <w:rPr>
      <w:rFonts w:ascii="MS Mincho" w:hAnsi="MS Mincho" w:eastAsia="MS Mincho"/>
      <w:spacing w:val="-2"/>
      <w:sz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Style13" w:customStyle="1">
    <w:name w:val="一太郎"/>
    <w:qFormat/>
    <w:pPr>
      <w:widowControl w:val="false"/>
      <w:suppressAutoHyphens w:val="true"/>
      <w:bidi w:val="0"/>
      <w:spacing w:lineRule="exact" w:line="347" w:before="0" w:after="0"/>
      <w:jc w:val="both"/>
      <w:textAlignment w:val="baseline"/>
    </w:pPr>
    <w:rPr>
      <w:rFonts w:ascii="Century" w:hAnsi="Century" w:eastAsia="Mincho" w:cs="Times New Roman"/>
      <w:color w:val="auto"/>
      <w:spacing w:val="1"/>
      <w:kern w:val="0"/>
      <w:sz w:val="21"/>
      <w:szCs w:val="20"/>
      <w:lang w:val="en-US" w:eastAsia="ja-JP" w:bidi="ar-SA"/>
    </w:rPr>
  </w:style>
  <w:style w:type="paragraph" w:styleId="HeaderandFooter">
    <w:name w:val="Header and Footer"/>
    <w:basedOn w:val="Normal"/>
    <w:qFormat/>
    <w:pPr/>
    <w:rPr/>
  </w:style>
  <w:style w:type="paragraph" w:styleId="Header">
    <w:name w:val="header"/>
    <w:basedOn w:val="Normal"/>
    <w:link w:val="EncabezadoCar"/>
    <w:uiPriority w:val="99"/>
    <w:unhideWhenUsed/>
    <w:rsid w:val="00dc5a2d"/>
    <w:pPr>
      <w:tabs>
        <w:tab w:val="clear" w:pos="720"/>
        <w:tab w:val="center" w:pos="4252" w:leader="none"/>
        <w:tab w:val="right" w:pos="8504" w:leader="none"/>
      </w:tabs>
      <w:snapToGrid w:val="false"/>
    </w:pPr>
    <w:rPr/>
  </w:style>
  <w:style w:type="paragraph" w:styleId="Footer">
    <w:name w:val="footer"/>
    <w:basedOn w:val="Normal"/>
    <w:link w:val="PiedepginaCar"/>
    <w:uiPriority w:val="99"/>
    <w:unhideWhenUsed/>
    <w:rsid w:val="00dc5a2d"/>
    <w:pPr>
      <w:tabs>
        <w:tab w:val="clear" w:pos="720"/>
        <w:tab w:val="center" w:pos="4252" w:leader="none"/>
        <w:tab w:val="right" w:pos="8504" w:leader="none"/>
      </w:tabs>
      <w:snapToGrid w:val="false"/>
    </w:pPr>
    <w:rPr/>
  </w:style>
  <w:style w:type="paragraph" w:styleId="nova-legacy-e-listitem" w:customStyle="1">
    <w:name w:val="nova-legacy-e-list__item"/>
    <w:basedOn w:val="Normal"/>
    <w:qFormat/>
    <w:rsid w:val="00cb1ebc"/>
    <w:pPr>
      <w:widowControl/>
      <w:spacing w:beforeAutospacing="1" w:afterAutospacing="1"/>
      <w:jc w:val="start"/>
      <w:textAlignment w:val="auto"/>
    </w:pPr>
    <w:rPr>
      <w:rFonts w:ascii="Times New Roman" w:hAnsi="Times New Roman" w:eastAsia="Times New Roman"/>
      <w:kern w:val="0"/>
      <w:sz w:val="24"/>
      <w:szCs w:val="24"/>
      <w:lang w:val="es-MX"/>
    </w:rPr>
  </w:style>
  <w:style w:type="paragraph" w:styleId="Default" w:customStyle="1">
    <w:name w:val="Default"/>
    <w:qFormat/>
    <w:rsid w:val="004d20d6"/>
    <w:pPr>
      <w:widowControl/>
      <w:suppressAutoHyphens w:val="true"/>
      <w:bidi w:val="0"/>
      <w:spacing w:before="0" w:after="0"/>
      <w:jc w:val="start"/>
    </w:pPr>
    <w:rPr>
      <w:rFonts w:ascii="Arial" w:hAnsi="Arial" w:eastAsia="MS Mincho" w:cs="Arial"/>
      <w:color w:val="000000"/>
      <w:kern w:val="0"/>
      <w:sz w:val="24"/>
      <w:szCs w:val="24"/>
      <w:lang w:val="es-MX" w:eastAsia="ja-JP" w:bidi="ar-SA"/>
    </w:rPr>
  </w:style>
  <w:style w:type="paragraph" w:styleId="NormalWeb">
    <w:name w:val="Normal (Web)"/>
    <w:basedOn w:val="Normal"/>
    <w:uiPriority w:val="99"/>
    <w:semiHidden/>
    <w:unhideWhenUsed/>
    <w:qFormat/>
    <w:rsid w:val="005c1cd0"/>
    <w:pPr>
      <w:widowControl/>
      <w:spacing w:beforeAutospacing="1" w:afterAutospacing="1"/>
      <w:jc w:val="start"/>
      <w:textAlignment w:val="auto"/>
    </w:pPr>
    <w:rPr>
      <w:rFonts w:ascii="Times New Roman" w:hAnsi="Times New Roman" w:eastAsia="Times New Roman"/>
      <w:kern w:val="0"/>
      <w:sz w:val="24"/>
      <w:szCs w:val="24"/>
      <w:lang w:val="es-M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researchgate.net/publication/325466102_Tractor_Oil_Pump_Fault_Diagnosis_by_Pseudo-spectrum_Analysis_of_Vehicle_Sound_Records?_sg%5B0%5D=QXy7jDIP1Tm5Tw8eBkxmgDvaoXh4e0tgd3F5SyKl4kXDESD3_HdORcxPM5yQMH_cAW7AO3cQdb-umCGygwG0AD9lDqQe1ghLBvGCYdBo.n_4KkERHOSgLDwS_qJ6lN-AA1mvcQRpbZoc0fAYTi9zuzulVgrSpF-8pM2J-sgqJbJN9_kAPDJXLwP6QZ6as6g&amp;_tp=eyJjb250ZXh0Ijp7ImZpcnN0UGFnZSI6ImxvZ2luIiwicGFnZSI6InByb2ZpbGUiLCJwb3NpdGlvbiI6InBhZ2VDb250ZW50In19"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pitchFamily="0" charset="1"/>
        <a:ea typeface=""/>
        <a:cs typeface=""/>
      </a:majorFont>
      <a:minorFont>
        <a:latin typeface="游明朝"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668</TotalTime>
  <Application>LibreOffice/26.2.0.3$Windows_X86_64 LibreOffice_project/620$Build-3</Application>
  <AppVersion>15.0000</AppVersion>
  <Pages>5</Pages>
  <Words>2266</Words>
  <Characters>12362</Characters>
  <CharactersWithSpaces>14086</CharactersWithSpaces>
  <Paragraphs>181</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2025-01-29T03:43:00Z</dcterms:created>
  <dc:creator>本澤　充宏</dc:creator>
  <dc:description/>
  <dc:language>es-MX</dc:language>
  <cp:lastModifiedBy/>
  <dcterms:modified xsi:type="dcterms:W3CDTF">2026-10-23T02:52:58Z</dcterms:modified>
  <cp:revision>142</cp:revision>
  <dc:subject/>
  <dc:title>研　究　業　績　（　論　文　目　録　）</dc:title>
</cp:coreProperties>
</file>

<file path=docProps/custom.xml><?xml version="1.0" encoding="utf-8"?>
<Properties xmlns="http://schemas.openxmlformats.org/officeDocument/2006/custom-properties" xmlns:vt="http://schemas.openxmlformats.org/officeDocument/2006/docPropsVTypes"/>
</file>