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7FF11EC4" w14:paraId="2993D09F" wp14:textId="208B4344">
      <w:pPr>
        <w:pStyle w:val="Title"/>
        <w:jc w:val="center"/>
      </w:pPr>
      <w:r w:rsidR="7FF11EC4">
        <w:rPr/>
        <w:t>Koordineli</w:t>
      </w:r>
      <w:r w:rsidR="7FF11EC4">
        <w:rPr/>
        <w:t xml:space="preserve"> </w:t>
      </w:r>
      <w:r w:rsidR="7FF11EC4">
        <w:rPr/>
        <w:t>Fiyat</w:t>
      </w:r>
      <w:r w:rsidR="7FF11EC4">
        <w:rPr/>
        <w:t>/</w:t>
      </w:r>
      <w:r w:rsidR="7FF11EC4">
        <w:rPr/>
        <w:t>Sinyal</w:t>
      </w:r>
      <w:r w:rsidR="7FF11EC4">
        <w:rPr/>
        <w:t xml:space="preserve"> </w:t>
      </w:r>
      <w:r w:rsidR="7FF11EC4">
        <w:rPr/>
        <w:t>Tahrifi</w:t>
      </w:r>
      <w:r w:rsidR="7FF11EC4">
        <w:rPr/>
        <w:t xml:space="preserve"> </w:t>
      </w:r>
      <w:r w:rsidR="7FF11EC4">
        <w:rPr/>
        <w:t>ile</w:t>
      </w:r>
      <w:r w:rsidR="7FF11EC4">
        <w:rPr/>
        <w:t xml:space="preserve"> </w:t>
      </w:r>
      <w:r w:rsidR="7FF11EC4">
        <w:rPr/>
        <w:t>Şarj</w:t>
      </w:r>
      <w:r w:rsidR="7FF11EC4">
        <w:rPr/>
        <w:t xml:space="preserve"> Dalgalanması</w:t>
      </w:r>
      <w:r>
        <w:br/>
      </w:r>
      <w:r w:rsidR="7FF11EC4">
        <w:rPr/>
        <w:t xml:space="preserve">Anomali </w:t>
      </w:r>
      <w:r w:rsidR="7FF11EC4">
        <w:rPr/>
        <w:t>Senaryosu</w:t>
      </w:r>
    </w:p>
    <w:p w:rsidR="48807260" w:rsidP="7FF11EC4" w:rsidRDefault="48807260" w14:paraId="0A1EF445" w14:textId="0321D3A1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48807260">
        <w:rPr/>
        <w:t xml:space="preserve">230541134 Muhammed </w:t>
      </w:r>
      <w:r w:rsidR="48807260">
        <w:rPr/>
        <w:t>Sıddık</w:t>
      </w:r>
      <w:r w:rsidR="48807260">
        <w:rPr/>
        <w:t xml:space="preserve"> Karabulut</w:t>
      </w:r>
    </w:p>
    <w:p xmlns:wp14="http://schemas.microsoft.com/office/word/2010/wordml" w14:paraId="59BEACC3" wp14:textId="77777777">
      <w:pPr>
        <w:pStyle w:val="Heading1"/>
      </w:pPr>
      <w:r>
        <w:t>1. Anomali Tanımı</w:t>
      </w:r>
    </w:p>
    <w:p xmlns:wp14="http://schemas.microsoft.com/office/word/2010/wordml" w14:paraId="5AE94C46" wp14:textId="77777777">
      <w:pPr>
        <w:pStyle w:val="Heading2"/>
      </w:pPr>
      <w:r>
        <w:t>1.1 Kısa Açıklama</w:t>
      </w:r>
    </w:p>
    <w:p xmlns:wp14="http://schemas.microsoft.com/office/word/2010/wordml" w14:paraId="3DD46E43" wp14:textId="77777777">
      <w:pPr>
        <w:spacing w:after="120"/>
      </w:pPr>
      <w:r>
        <w:t>Saldırgan(lar), OCPP veya dağıtık kontrol kanalını hedefleyerek (ör. zayıf TLS, kimlik sahtekarlığı veya rogue gateway) gerçeğe aykırı Fiyat Sinyali veya Enerji Talep Emri yayınlar.</w:t>
      </w:r>
    </w:p>
    <w:p xmlns:wp14="http://schemas.microsoft.com/office/word/2010/wordml" w14:paraId="1D4B6C6B" wp14:textId="77777777">
      <w:pPr>
        <w:pStyle w:val="Heading2"/>
      </w:pPr>
      <w:r>
        <w:t>1.2 Etki</w:t>
      </w:r>
    </w:p>
    <w:p xmlns:wp14="http://schemas.microsoft.com/office/word/2010/wordml" w14:paraId="1EE2E36C" wp14:textId="77777777">
      <w:pPr>
        <w:spacing w:after="120"/>
      </w:pPr>
      <w:r>
        <w:t>Çok sayıda bağlı EVCS bu sinyali aynı anda 'ucuz fiyat' veya 'negatif fiyat' olarak algılayıp anında şarj başlatır veya şarj akımını yükseltir. Sonuç: şebeke üzerinde ani, yüksek genlikli yük dalgası (surge) oluşur; trafo korumaları tetiklenebilir, gerilim/frekans sapması ya da bölgesel kesintiler meydana gelebilir.</w:t>
      </w:r>
    </w:p>
    <w:p xmlns:wp14="http://schemas.microsoft.com/office/word/2010/wordml" w14:paraId="10A3C4E4" wp14:textId="0945CB6C">
      <w:pPr>
        <w:pStyle w:val="Heading1"/>
      </w:pPr>
      <w:r w:rsidR="7FF11EC4">
        <w:rPr/>
        <w:t xml:space="preserve">2. </w:t>
      </w:r>
      <w:r w:rsidR="7FF11EC4">
        <w:rPr/>
        <w:t>Olası</w:t>
      </w:r>
      <w:r w:rsidR="7FF11EC4">
        <w:rPr/>
        <w:t xml:space="preserve"> </w:t>
      </w:r>
      <w:r w:rsidR="7FF11EC4">
        <w:rPr/>
        <w:t>Nedenler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45A2B5BD" wp14:textId="77777777">
        <w:tc>
          <w:tcPr>
            <w:tcW w:w="2880" w:type="dxa"/>
          </w:tcPr>
          <w:p w14:paraId="310EE5FB" wp14:textId="77777777">
            <w:r>
              <w:t>Kategori</w:t>
            </w:r>
          </w:p>
        </w:tc>
        <w:tc>
          <w:tcPr>
            <w:tcW w:w="2880" w:type="dxa"/>
          </w:tcPr>
          <w:p w14:paraId="7D76D527" wp14:textId="77777777">
            <w:r>
              <w:t>Olası Sebep</w:t>
            </w:r>
          </w:p>
        </w:tc>
        <w:tc>
          <w:tcPr>
            <w:tcW w:w="2880" w:type="dxa"/>
          </w:tcPr>
          <w:p w14:paraId="385D0520" wp14:textId="77777777">
            <w:r>
              <w:t>Açıklama</w:t>
            </w:r>
          </w:p>
        </w:tc>
      </w:tr>
      <w:tr xmlns:wp14="http://schemas.microsoft.com/office/word/2010/wordml" w14:paraId="1E103F99" wp14:textId="77777777">
        <w:tc>
          <w:tcPr>
            <w:tcW w:w="2880" w:type="dxa"/>
          </w:tcPr>
          <w:p w14:paraId="70752D78" wp14:textId="77777777">
            <w:r>
              <w:t>Protokol</w:t>
            </w:r>
          </w:p>
        </w:tc>
        <w:tc>
          <w:tcPr>
            <w:tcW w:w="2880" w:type="dxa"/>
          </w:tcPr>
          <w:p w14:paraId="4023F4CC" wp14:textId="77777777">
            <w:r>
              <w:t>Fiyat sinyali doğrulama eksikliği</w:t>
            </w:r>
          </w:p>
        </w:tc>
        <w:tc>
          <w:tcPr>
            <w:tcW w:w="2880" w:type="dxa"/>
          </w:tcPr>
          <w:p w14:paraId="7BAB16A0" wp14:textId="77777777">
            <w:r>
              <w:t>OCPP veya integrasyon katmanında fiyat/priority sinyallerinin imzalanmaması veya doğrulanmaması.</w:t>
            </w:r>
          </w:p>
        </w:tc>
      </w:tr>
      <w:tr xmlns:wp14="http://schemas.microsoft.com/office/word/2010/wordml" w14:paraId="07B99286" wp14:textId="77777777">
        <w:tc>
          <w:tcPr>
            <w:tcW w:w="2880" w:type="dxa"/>
          </w:tcPr>
          <w:p w14:paraId="453978CC" wp14:textId="77777777">
            <w:r>
              <w:t>Donanım</w:t>
            </w:r>
          </w:p>
        </w:tc>
        <w:tc>
          <w:tcPr>
            <w:tcW w:w="2880" w:type="dxa"/>
          </w:tcPr>
          <w:p w14:paraId="5D6C6513" wp14:textId="77777777">
            <w:r>
              <w:t>Gateway/central server ele geçirilmesi</w:t>
            </w:r>
          </w:p>
        </w:tc>
        <w:tc>
          <w:tcPr>
            <w:tcW w:w="2880" w:type="dxa"/>
          </w:tcPr>
          <w:p w14:paraId="37EC276C" wp14:textId="77777777">
            <w:r>
              <w:t>Zayıf sertifika yönetimi veya kimlik bilgisi sızıntısı ile rogue central veya gateway oluşturulması.</w:t>
            </w:r>
          </w:p>
        </w:tc>
      </w:tr>
      <w:tr xmlns:wp14="http://schemas.microsoft.com/office/word/2010/wordml" w14:paraId="7D8E7612" wp14:textId="77777777">
        <w:tc>
          <w:tcPr>
            <w:tcW w:w="2880" w:type="dxa"/>
          </w:tcPr>
          <w:p w14:paraId="30FF889B" wp14:textId="77777777">
            <w:r>
              <w:t>Veri Kaynağı</w:t>
            </w:r>
          </w:p>
        </w:tc>
        <w:tc>
          <w:tcPr>
            <w:tcW w:w="2880" w:type="dxa"/>
          </w:tcPr>
          <w:p w14:paraId="0DFED99F" wp14:textId="77777777">
            <w:r>
              <w:t>Oracle / Piyasa Veri Manipülasyonu</w:t>
            </w:r>
          </w:p>
        </w:tc>
        <w:tc>
          <w:tcPr>
            <w:tcW w:w="2880" w:type="dxa"/>
          </w:tcPr>
          <w:p w14:paraId="6E3603DF" wp14:textId="77777777">
            <w:r>
              <w:t>Enerji fiyatı beslemelerine yapılan saldırılar (API/stream hijack) ile yanlış fiyat beslemesi.</w:t>
            </w:r>
          </w:p>
        </w:tc>
      </w:tr>
      <w:tr xmlns:wp14="http://schemas.microsoft.com/office/word/2010/wordml" w14:paraId="02B11F68" wp14:textId="77777777">
        <w:tc>
          <w:tcPr>
            <w:tcW w:w="2880" w:type="dxa"/>
          </w:tcPr>
          <w:p w14:paraId="3C112D0E" wp14:textId="77777777">
            <w:r>
              <w:t>Yazılım</w:t>
            </w:r>
          </w:p>
        </w:tc>
        <w:tc>
          <w:tcPr>
            <w:tcW w:w="2880" w:type="dxa"/>
          </w:tcPr>
          <w:p w14:paraId="60E24F53" wp14:textId="77777777">
            <w:r>
              <w:t>Güvenlik açıkları/eksik doğrulama</w:t>
            </w:r>
          </w:p>
        </w:tc>
        <w:tc>
          <w:tcPr>
            <w:tcW w:w="2880" w:type="dxa"/>
          </w:tcPr>
          <w:p w14:paraId="45D30683" wp14:textId="77777777">
            <w:r>
              <w:t>Charge Point yazılımlarının gelen price signal kaynak doğrulaması veya rate-limit kontrolleri eksikliği.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33D580F1" wp14:textId="77777777">
      <w:pPr>
        <w:pStyle w:val="Heading1"/>
      </w:pPr>
      <w:r>
        <w:t>3. Olası Riskler ve Etkiler (Şarj Esnasında)</w:t>
      </w:r>
    </w:p>
    <w:p xmlns:wp14="http://schemas.microsoft.com/office/word/2010/wordml" w14:paraId="1EA6AF1E" wp14:textId="77777777">
      <w:pPr>
        <w:pStyle w:val="Heading2"/>
      </w:pPr>
      <w:r>
        <w:t>3.1 Fiziksel Etkiler</w:t>
      </w:r>
    </w:p>
    <w:p xmlns:wp14="http://schemas.microsoft.com/office/word/2010/wordml" w14:paraId="7151B59C" wp14:textId="77777777">
      <w:pPr>
        <w:spacing w:after="120"/>
      </w:pPr>
      <w:r>
        <w:t>Anlık yüksek yük (surge): Trafolar ve dağıtım ekipmanı aşırı yüklenebilir; koruma cihazları tetiklenebilir.</w:t>
      </w:r>
    </w:p>
    <w:p xmlns:wp14="http://schemas.microsoft.com/office/word/2010/wordml" w14:paraId="6B952A05" wp14:textId="77777777">
      <w:pPr>
        <w:pStyle w:val="Heading2"/>
      </w:pPr>
      <w:r>
        <w:t>3.2 Ekonomik &amp; Kullanıcı</w:t>
      </w:r>
    </w:p>
    <w:p xmlns:wp14="http://schemas.microsoft.com/office/word/2010/wordml" w14:paraId="00FD8CAC" wp14:textId="77777777">
      <w:pPr>
        <w:spacing w:after="120"/>
      </w:pPr>
      <w:r>
        <w:t>Müşteri deneyimi ve güven zedelenir; fiyat manipülasyonu ekonomik etkiler doğurur.</w:t>
      </w:r>
    </w:p>
    <w:p xmlns:wp14="http://schemas.microsoft.com/office/word/2010/wordml" w14:paraId="58917864" wp14:textId="00F2D78F">
      <w:pPr>
        <w:pStyle w:val="Heading1"/>
      </w:pPr>
      <w:r w:rsidR="7FF11EC4">
        <w:rPr/>
        <w:t xml:space="preserve">4. </w:t>
      </w:r>
      <w:r w:rsidR="7FF11EC4">
        <w:rPr/>
        <w:t>İlgili</w:t>
      </w:r>
      <w:r w:rsidR="7FF11EC4">
        <w:rPr/>
        <w:t xml:space="preserve"> </w:t>
      </w:r>
      <w:r w:rsidR="7FF11EC4">
        <w:rPr/>
        <w:t>Standart</w:t>
      </w:r>
      <w:r w:rsidR="7FF11EC4">
        <w:rPr/>
        <w:t xml:space="preserve"> </w:t>
      </w:r>
      <w:r w:rsidR="7FF11EC4">
        <w:rPr/>
        <w:t>Referansı</w:t>
      </w:r>
    </w:p>
    <w:p xmlns:wp14="http://schemas.microsoft.com/office/word/2010/wordml" w14:paraId="46DD2600" wp14:textId="77777777">
      <w:pPr>
        <w:spacing w:after="120"/>
      </w:pPr>
      <w:r>
        <w:t>IEC 61851-24 – Digital Communication between EV and DC Charging Station</w:t>
      </w:r>
    </w:p>
    <w:p xmlns:wp14="http://schemas.microsoft.com/office/word/2010/wordml" w14:paraId="73C870FF" wp14:textId="77777777">
      <w:pPr>
        <w:spacing w:after="120"/>
      </w:pPr>
      <w:r>
        <w:t>ISO 15118 – Vehicle-to-Grid Communication Interface</w:t>
      </w:r>
    </w:p>
    <w:p xmlns:wp14="http://schemas.microsoft.com/office/word/2010/wordml" w14:paraId="2182823A" wp14:textId="77777777">
      <w:pPr>
        <w:spacing w:after="120"/>
      </w:pPr>
      <w:r>
        <w:t>IEC 62351 – Power system security standards</w:t>
      </w:r>
    </w:p>
    <w:p xmlns:wp14="http://schemas.microsoft.com/office/word/2010/wordml" w14:paraId="007AA9F7" wp14:textId="77777777">
      <w:pPr>
        <w:spacing w:after="120"/>
      </w:pPr>
      <w:r>
        <w:t>NIST SP 800-53 / ETSI EN 303 645</w:t>
      </w:r>
    </w:p>
    <w:p xmlns:wp14="http://schemas.microsoft.com/office/word/2010/wordml" w14:paraId="0410484B" wp14:textId="2F130157">
      <w:pPr>
        <w:pStyle w:val="Heading1"/>
      </w:pPr>
      <w:r w:rsidR="7FF11EC4">
        <w:rPr/>
        <w:t xml:space="preserve">5. </w:t>
      </w:r>
      <w:r w:rsidR="7FF11EC4">
        <w:rPr/>
        <w:t>Çözüm</w:t>
      </w:r>
      <w:r w:rsidR="7FF11EC4">
        <w:rPr/>
        <w:t xml:space="preserve"> </w:t>
      </w:r>
      <w:r w:rsidR="7FF11EC4">
        <w:rPr/>
        <w:t>Önerileri</w:t>
      </w:r>
    </w:p>
    <w:p xmlns:wp14="http://schemas.microsoft.com/office/word/2010/wordml" w14:paraId="0CCCB0B6" wp14:textId="77777777">
      <w:pPr>
        <w:pStyle w:val="Heading2"/>
      </w:pPr>
      <w:r>
        <w:t>5.1 Donanım Düzeyinde</w:t>
      </w:r>
    </w:p>
    <w:p xmlns:wp14="http://schemas.microsoft.com/office/word/2010/wordml" w14:paraId="18287D3F" wp14:textId="77777777">
      <w:pPr>
        <w:spacing w:after="120"/>
      </w:pPr>
      <w:r>
        <w:t>Critical gateway’lerde HSM/TPM kullanımı ile anahtar yönetimi; Central/gateway erişimleri fiziksel ve ağ tabanlı olarak kısıtlanmalı.</w:t>
      </w:r>
    </w:p>
    <w:p xmlns:wp14="http://schemas.microsoft.com/office/word/2010/wordml" w14:paraId="7F715ACC" wp14:textId="77777777">
      <w:pPr>
        <w:pStyle w:val="Heading2"/>
      </w:pPr>
      <w:r>
        <w:t>5.2 Yazılım/Protokol Düzeyinde</w:t>
      </w:r>
    </w:p>
    <w:p xmlns:wp14="http://schemas.microsoft.com/office/word/2010/wordml" w14:paraId="750960BF" wp14:textId="77777777">
      <w:pPr>
        <w:spacing w:after="120"/>
      </w:pPr>
      <w:r>
        <w:t>Fiyat sinyallerine dijital imza eklenmeli; Mutual TLS ve sertifika doğrulaması zorunlu olmalı; rate-limiting &amp; debouncing uygulanmalı.</w:t>
      </w:r>
    </w:p>
    <w:p xmlns:wp14="http://schemas.microsoft.com/office/word/2010/wordml" w14:paraId="7EC7453B" wp14:textId="77777777">
      <w:pPr>
        <w:pStyle w:val="Heading2"/>
      </w:pPr>
      <w:r>
        <w:t>5.3 Operasyonel/Algoritmik</w:t>
      </w:r>
    </w:p>
    <w:p xmlns:wp14="http://schemas.microsoft.com/office/word/2010/wordml" w14:paraId="0B4B6BBE" wp14:textId="77777777">
      <w:pPr>
        <w:spacing w:after="120"/>
      </w:pPr>
      <w:r>
        <w:t>Correlation IDS, Trafo/SCADA entegrasyonu, Price oracle doğrulama, firmware imzalama ve secure boot.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6CB698B9" wp14:textId="77777777">
      <w:pPr>
        <w:pStyle w:val="Heading1"/>
      </w:pPr>
      <w:r>
        <w:t>6. Sonuç ve Değerlendirme</w:t>
      </w:r>
    </w:p>
    <w:p xmlns:wp14="http://schemas.microsoft.com/office/word/2010/wordml" w14:paraId="4E3DFD1E" wp14:textId="77777777">
      <w:pPr>
        <w:pStyle w:val="Heading2"/>
      </w:pPr>
      <w:r>
        <w:t>6.1 Değerlendirme</w:t>
      </w:r>
    </w:p>
    <w:p xmlns:wp14="http://schemas.microsoft.com/office/word/2010/wordml" w14:paraId="446C8433" wp14:textId="77777777">
      <w:pPr>
        <w:spacing w:after="120"/>
      </w:pPr>
      <w:r>
        <w:t>Koordineli fiyat sinyali tahrifi, geniş ölçekli fiziksel etkilere yol açabilecek yüksek riskli bir tehdittir. Siber güvenlik ve enerji operasyon ekiplerinin birlikte çalışmasını gerektirir.</w:t>
      </w:r>
    </w:p>
    <w:p xmlns:wp14="http://schemas.microsoft.com/office/word/2010/wordml" w14:paraId="4E38B072" wp14:textId="3A618274">
      <w:pPr>
        <w:pStyle w:val="Heading1"/>
      </w:pPr>
      <w:r w:rsidR="7FF11EC4">
        <w:rPr/>
        <w:t xml:space="preserve">7. </w:t>
      </w:r>
      <w:r w:rsidR="7FF11EC4">
        <w:rPr/>
        <w:t>Kaynakça</w:t>
      </w:r>
    </w:p>
    <w:p xmlns:wp14="http://schemas.microsoft.com/office/word/2010/wordml" w14:paraId="4AC90589" wp14:textId="77777777">
      <w:pPr>
        <w:spacing w:after="120"/>
      </w:pPr>
      <w:r>
        <w:t>IEC 61851-24</w:t>
      </w:r>
    </w:p>
    <w:p xmlns:wp14="http://schemas.microsoft.com/office/word/2010/wordml" w14:paraId="173ABF61" wp14:textId="77777777">
      <w:pPr>
        <w:spacing w:after="120"/>
      </w:pPr>
      <w:r>
        <w:t>ISO 15118</w:t>
      </w:r>
    </w:p>
    <w:p xmlns:wp14="http://schemas.microsoft.com/office/word/2010/wordml" w14:paraId="3C3C8860" wp14:textId="77777777">
      <w:pPr>
        <w:spacing w:after="120"/>
      </w:pPr>
      <w:r>
        <w:t>OCPP 1.6 / OCPP 2.0 uygulama notları</w:t>
      </w:r>
    </w:p>
    <w:p xmlns:wp14="http://schemas.microsoft.com/office/word/2010/wordml" w14:paraId="713FC92C" wp14:textId="77777777">
      <w:pPr>
        <w:spacing w:after="120"/>
      </w:pPr>
      <w:r>
        <w:t>Research: Grid-aware EV charging attacks and mitigation; NIST/ENSA raporları</w:t>
      </w:r>
    </w:p>
    <w:p xmlns:wp14="http://schemas.microsoft.com/office/word/2010/wordml" w14:paraId="72A3D3EC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732BA3"/>
    <w:rsid w:val="48807260"/>
    <w:rsid w:val="7FF1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2233498-1272-4D9B-AB48-1561536C3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muhammed karabulut</lastModifiedBy>
  <revision>2</revision>
  <dcterms:created xsi:type="dcterms:W3CDTF">2013-12-23T23:15:00.0000000Z</dcterms:created>
  <dcterms:modified xsi:type="dcterms:W3CDTF">2025-11-11T20:57:43.0550136Z</dcterms:modified>
  <category/>
</coreProperties>
</file>