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Induvidualize Cracking Texture on OreVeins</w:t>
      </w:r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As long as no Items are in the “ResearchedList”</w:t>
      </w:r>
    </w:p>
    <w:p w14:paraId="672481A6" w14:textId="4AB924B1" w:rsidR="00B4236E" w:rsidRDefault="00B4236E" w:rsidP="00B423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“Folders” for Save/Load for:</w:t>
      </w:r>
    </w:p>
    <w:p w14:paraId="06974601" w14:textId="1D0294C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JournalPages</w:t>
      </w:r>
    </w:p>
    <w:p w14:paraId="56EC0EC3" w14:textId="4CC0EA4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BluePrints</w:t>
      </w:r>
    </w:p>
    <w:p w14:paraId="41BF708F" w14:textId="69E610FF" w:rsidR="00B4236E" w:rsidRDefault="00B4236E" w:rsidP="00B4236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functionality </w:t>
      </w:r>
      <w:r w:rsidR="008A09FD">
        <w:rPr>
          <w:lang w:val="en-US"/>
        </w:rPr>
        <w:t>for</w:t>
      </w:r>
      <w:r>
        <w:rPr>
          <w:lang w:val="en-US"/>
        </w:rPr>
        <w:t xml:space="preserve"> more than 1 Blueprint in 1 InteractableObject</w:t>
      </w:r>
    </w:p>
    <w:p w14:paraId="22DD11B0" w14:textId="1594C7E0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 Key</w:t>
      </w:r>
    </w:p>
    <w:p w14:paraId="46867263" w14:textId="4C24A1A5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AriditeCrystal</w:t>
      </w:r>
    </w:p>
    <w:p w14:paraId="763DA6EB" w14:textId="57AA02B1" w:rsidR="006B5E59" w:rsidRDefault="006B5E59" w:rsidP="006B5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GhostPool</w:t>
      </w:r>
    </w:p>
    <w:p w14:paraId="26E90500" w14:textId="649CBF20" w:rsidR="006B5E59" w:rsidRDefault="006B5E59" w:rsidP="006B5E5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out why the GhostPool isn’t making any ghosts at the start of the game</w:t>
      </w:r>
    </w:p>
    <w:p w14:paraId="6D9CD965" w14:textId="2E21307C" w:rsidR="0038228C" w:rsidRDefault="0038228C" w:rsidP="0038228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Pr="00B4236E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Arídia Keys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lastRenderedPageBreak/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C6137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30967</TotalTime>
  <Pages>8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317</cp:revision>
  <dcterms:created xsi:type="dcterms:W3CDTF">2024-03-15T13:21:00Z</dcterms:created>
  <dcterms:modified xsi:type="dcterms:W3CDTF">2024-04-20T22:02:00Z</dcterms:modified>
</cp:coreProperties>
</file>