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34"/>
          <w:sz w:val="56"/>
          <w:szCs w:val="56"/>
        </w:rPr>
        <w:t xml:space="preserve">417 Wildlife Alliance</w:t>
      </w:r>
    </w:p>
    <w:p>
      <w:pPr>
        <w:spacing w:after="240"/>
      </w:pPr>
      <w:r>
        <w:rPr>
          <w:b/>
          <w:bCs/>
          <w:color w:val="B5651D"/>
          <w:sz w:val="32"/>
          <w:szCs w:val="32"/>
        </w:rPr>
        <w:t xml:space="preserve">Next Steps</w:t>
      </w:r>
    </w:p>
    <w:p>
      <w:pPr>
        <w:spacing w:after="20"/>
      </w:pPr>
      <w:r>
        <w:rPr>
          <w:i/>
          <w:iCs/>
          <w:color w:val="595959"/>
          <w:sz w:val="20"/>
          <w:szCs w:val="20"/>
        </w:rPr>
        <w:t xml:space="preserve">Status: Draft for founder/partner review</w:t>
      </w:r>
    </w:p>
    <w:p>
      <w:pPr>
        <w:spacing w:after="20"/>
      </w:pPr>
      <w:r>
        <w:rPr>
          <w:i/>
          <w:iCs/>
          <w:color w:val="595959"/>
          <w:sz w:val="20"/>
          <w:szCs w:val="20"/>
        </w:rPr>
        <w:t xml:space="preserve">Date: 2026-08-22</w:t>
      </w:r>
    </w:p>
    <w:p>
      <w:pPr>
        <w:pBdr>
          <w:bottom w:val="single" w:color="1F3A34" w:sz="6" w:space="4"/>
        </w:pBdr>
        <w:spacing w:after="60" w:before="200"/>
      </w:pPr>
      <w:r>
        <w:t xml:space="preserve"/>
      </w:r>
    </w:p>
    <w:p>
      <w:pPr>
        <w:spacing w:after="300"/>
      </w:pPr>
      <w:r>
        <w:rPr>
          <w:i/>
          <w:iCs/>
          <w:color w:val="595959"/>
          <w:sz w:val="21"/>
          <w:szCs w:val="21"/>
        </w:rPr>
        <w:t xml:space="preserve">Near-term action items, roughly in order. Strategy and context live in the Business Plan Summary document; the detailed legal/formation checklist (exact IRS forms, fees, Missouri statutes, and source citations) lives in the full Business Plan document.</w:t>
      </w:r>
    </w:p>
    <w:p>
      <w:pPr>
        <w:spacing w:after="120"/>
        <w:ind w:left="200"/>
      </w:pPr>
      <w:r>
        <w:rPr>
          <w:b/>
          <w:bCs/>
          <w:color w:val="1F3A34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Decide the fundraising path: </w:t>
      </w:r>
      <w:r>
        <w:rPr>
          <w:sz w:val="21"/>
          <w:szCs w:val="21"/>
        </w:rPr>
        <w:t xml:space="preserve">fiscal sponsorship for immediate tax-deductible giving, or file for the organization's own 501(c)(3) directly.</w:t>
      </w:r>
    </w:p>
    <w:p>
      <w:pPr>
        <w:spacing w:after="120"/>
        <w:ind w:left="200"/>
      </w:pPr>
      <w:r>
        <w:rPr>
          <w:b/>
          <w:bCs/>
          <w:color w:val="1F3A34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Recruit at least three founding board members </w:t>
      </w:r>
      <w:r>
        <w:rPr>
          <w:sz w:val="21"/>
          <w:szCs w:val="21"/>
        </w:rPr>
        <w:t xml:space="preserve">and confirm officer roles (Chair, Secretary, Treasurer at minimum).</w:t>
      </w:r>
    </w:p>
    <w:p>
      <w:pPr>
        <w:spacing w:after="120"/>
        <w:ind w:left="200"/>
      </w:pPr>
      <w:r>
        <w:rPr>
          <w:b/>
          <w:bCs/>
          <w:color w:val="1F3A34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Choose a Missouri registered agent </w:t>
      </w:r>
      <w:r>
        <w:rPr>
          <w:sz w:val="21"/>
          <w:szCs w:val="21"/>
        </w:rPr>
        <w:t xml:space="preserve">and physical address, then file Missouri nonprofit Articles of Incorporation.</w:t>
      </w:r>
    </w:p>
    <w:p>
      <w:pPr>
        <w:spacing w:after="120"/>
        <w:ind w:left="200"/>
      </w:pPr>
      <w:r>
        <w:rPr>
          <w:b/>
          <w:bCs/>
          <w:color w:val="1F3A34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Hold the first board meeting </w:t>
      </w:r>
      <w:r>
        <w:rPr>
          <w:sz w:val="21"/>
          <w:szCs w:val="21"/>
        </w:rPr>
        <w:t xml:space="preserve">to approve bylaws, conflict-of-interest policy, donation acceptance policy, and the grant/reimbursement policy for rehabber support.</w:t>
      </w:r>
    </w:p>
    <w:p>
      <w:pPr>
        <w:spacing w:after="120"/>
        <w:ind w:left="200"/>
      </w:pPr>
      <w:r>
        <w:rPr>
          <w:b/>
          <w:bCs/>
          <w:color w:val="1F3A34"/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Apply for an EIN and open a dedicated bank account — </w:t>
      </w:r>
      <w:r>
        <w:rPr>
          <w:sz w:val="21"/>
          <w:szCs w:val="21"/>
        </w:rPr>
        <w:t xml:space="preserve">never route donations through a personal account.</w:t>
      </w:r>
    </w:p>
    <w:p>
      <w:pPr>
        <w:spacing w:after="120"/>
        <w:ind w:left="200"/>
      </w:pPr>
      <w:r>
        <w:rPr>
          <w:b/>
          <w:bCs/>
          <w:color w:val="1F3A34"/>
          <w:sz w:val="21"/>
          <w:szCs w:val="21"/>
        </w:rPr>
        <w:t xml:space="preserve">6. </w:t>
      </w:r>
      <w:r>
        <w:rPr>
          <w:b/>
          <w:bCs/>
          <w:sz w:val="21"/>
          <w:szCs w:val="21"/>
        </w:rPr>
        <w:t xml:space="preserve">File IRS Form 1023 (or 1023-EZ if eligible) </w:t>
      </w:r>
      <w:r>
        <w:rPr>
          <w:sz w:val="21"/>
          <w:szCs w:val="21"/>
        </w:rPr>
        <w:t xml:space="preserve">for federal tax-exempt recognition.</w:t>
      </w:r>
    </w:p>
    <w:p>
      <w:pPr>
        <w:spacing w:after="120"/>
        <w:ind w:left="200"/>
      </w:pPr>
      <w:r>
        <w:rPr>
          <w:b/>
          <w:bCs/>
          <w:color w:val="1F3A34"/>
          <w:sz w:val="21"/>
          <w:szCs w:val="21"/>
        </w:rPr>
        <w:t xml:space="preserve">7. </w:t>
      </w:r>
      <w:r>
        <w:rPr>
          <w:b/>
          <w:bCs/>
          <w:sz w:val="21"/>
          <w:szCs w:val="21"/>
        </w:rPr>
        <w:t xml:space="preserve">Register with the Missouri Attorney General </w:t>
      </w:r>
      <w:r>
        <w:rPr>
          <w:sz w:val="21"/>
          <w:szCs w:val="21"/>
        </w:rPr>
        <w:t xml:space="preserve">if soliciting donations before 501(c)(3) status is confirmed and no fiscal sponsor covers the solicitation.</w:t>
      </w:r>
    </w:p>
    <w:p>
      <w:pPr>
        <w:spacing w:after="120"/>
        <w:ind w:left="200"/>
      </w:pPr>
      <w:r>
        <w:rPr>
          <w:b/>
          <w:bCs/>
          <w:color w:val="1F3A34"/>
          <w:sz w:val="21"/>
          <w:szCs w:val="21"/>
        </w:rPr>
        <w:t xml:space="preserve">8. </w:t>
      </w:r>
      <w:r>
        <w:rPr>
          <w:b/>
          <w:bCs/>
          <w:sz w:val="21"/>
          <w:szCs w:val="21"/>
        </w:rPr>
        <w:t xml:space="preserve">Finish donation readiness on the site: </w:t>
      </w:r>
      <w:r>
        <w:rPr>
          <w:sz w:val="21"/>
          <w:szCs w:val="21"/>
        </w:rPr>
        <w:t xml:space="preserve">EIN/tax-status copy, receipt emails, refund policy, privacy/terms pages, and a donation admin export.</w:t>
      </w:r>
    </w:p>
    <w:p>
      <w:pPr>
        <w:spacing w:after="120"/>
        <w:ind w:left="200"/>
      </w:pPr>
      <w:r>
        <w:rPr>
          <w:b/>
          <w:bCs/>
          <w:color w:val="1F3A34"/>
          <w:sz w:val="21"/>
          <w:szCs w:val="21"/>
        </w:rPr>
        <w:t xml:space="preserve">9. </w:t>
      </w:r>
      <w:r>
        <w:rPr>
          <w:b/>
          <w:bCs/>
          <w:sz w:val="21"/>
          <w:szCs w:val="21"/>
        </w:rPr>
        <w:t xml:space="preserve">Confirm Netlify, Supabase, and domain/DNS are fully on Matt's own accounts </w:t>
      </w:r>
      <w:r>
        <w:rPr>
          <w:sz w:val="21"/>
          <w:szCs w:val="21"/>
        </w:rPr>
        <w:t xml:space="preserve">(see the Owner Handoff document for current status).</w:t>
      </w:r>
    </w:p>
    <w:p>
      <w:pPr>
        <w:spacing w:after="120"/>
        <w:ind w:left="200"/>
      </w:pPr>
      <w:r>
        <w:rPr>
          <w:b/>
          <w:bCs/>
          <w:color w:val="1F3A34"/>
          <w:sz w:val="21"/>
          <w:szCs w:val="21"/>
        </w:rPr>
        <w:t xml:space="preserve">10. </w:t>
      </w:r>
      <w:r>
        <w:rPr>
          <w:b/>
          <w:bCs/>
          <w:sz w:val="21"/>
          <w:szCs w:val="21"/>
        </w:rPr>
        <w:t xml:space="preserve">Line up 2-3 founding sponsors and the first round of verified rehabber directory listings </w:t>
      </w:r>
      <w:r>
        <w:rPr>
          <w:sz w:val="21"/>
          <w:szCs w:val="21"/>
        </w:rPr>
        <w:t xml:space="preserve">before a public launch push.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417 Wildlife Alliance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417 Wildlife Alliance — Next Steps</dc:title>
  <dc:creator>417 Wildlife Alliance</dc:creator>
  <cp:lastModifiedBy>Un-named</cp:lastModifiedBy>
  <cp:revision>1</cp:revision>
  <dcterms:created xsi:type="dcterms:W3CDTF">2026-08-22T17:09:18.893Z</dcterms:created>
  <dcterms:modified xsi:type="dcterms:W3CDTF">2026-08-22T17:09:18.893Z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