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7E89" w14:textId="5CB25247" w:rsidR="00E918C5" w:rsidRPr="00396A95" w:rsidRDefault="00842083">
      <w:pPr>
        <w:pStyle w:val="Title"/>
        <w:jc w:val="right"/>
        <w:rPr>
          <w:rFonts w:cs="Arial"/>
          <w:szCs w:val="36"/>
        </w:rPr>
      </w:pPr>
      <w:r w:rsidRPr="00396A95">
        <w:rPr>
          <w:rFonts w:cs="Arial"/>
          <w:szCs w:val="36"/>
        </w:rPr>
        <w:t>Boolean Expression Evaluator</w:t>
      </w:r>
    </w:p>
    <w:p w14:paraId="1B090957" w14:textId="676B76F0" w:rsidR="00E918C5" w:rsidRPr="00396A95" w:rsidRDefault="00842083">
      <w:pPr>
        <w:pStyle w:val="Title"/>
        <w:jc w:val="right"/>
        <w:rPr>
          <w:rFonts w:cs="Arial"/>
          <w:szCs w:val="36"/>
        </w:rPr>
      </w:pPr>
      <w:r w:rsidRPr="00396A95">
        <w:rPr>
          <w:rFonts w:cs="Arial"/>
          <w:szCs w:val="36"/>
        </w:rPr>
        <w:t>Risk Assessment</w:t>
      </w:r>
    </w:p>
    <w:p w14:paraId="44B81197" w14:textId="0FF59E57" w:rsidR="00E918C5" w:rsidRPr="00396A95" w:rsidRDefault="00E918C5">
      <w:pPr>
        <w:pStyle w:val="Title"/>
        <w:jc w:val="right"/>
        <w:rPr>
          <w:rFonts w:cs="Arial"/>
          <w:szCs w:val="36"/>
        </w:rPr>
      </w:pPr>
      <w:r w:rsidRPr="00396A95">
        <w:rPr>
          <w:rFonts w:cs="Arial"/>
          <w:szCs w:val="36"/>
        </w:rPr>
        <w:t>Version 1.0</w:t>
      </w:r>
    </w:p>
    <w:p w14:paraId="6487B687" w14:textId="77777777" w:rsidR="00E918C5" w:rsidRPr="006A68D4" w:rsidRDefault="00E918C5">
      <w:pPr>
        <w:pStyle w:val="Title"/>
        <w:rPr>
          <w:rFonts w:ascii="Times New Roman" w:hAnsi="Times New Roman"/>
          <w:sz w:val="20"/>
        </w:rPr>
      </w:pPr>
    </w:p>
    <w:p w14:paraId="45724FBB" w14:textId="77777777" w:rsidR="00E918C5" w:rsidRPr="006A68D4" w:rsidRDefault="00E918C5"/>
    <w:p w14:paraId="55780E42" w14:textId="1933892D" w:rsidR="008E6895" w:rsidRPr="006A68D4" w:rsidRDefault="008E6895" w:rsidP="008E6895">
      <w:pPr>
        <w:pStyle w:val="BodyText"/>
      </w:pPr>
    </w:p>
    <w:p w14:paraId="67336814" w14:textId="77777777" w:rsidR="00E918C5" w:rsidRPr="006A68D4" w:rsidRDefault="00E918C5">
      <w:pPr>
        <w:pStyle w:val="BodyText"/>
      </w:pPr>
    </w:p>
    <w:p w14:paraId="3A2CAC45" w14:textId="77777777" w:rsidR="00E918C5" w:rsidRPr="006A68D4" w:rsidRDefault="00E918C5">
      <w:pPr>
        <w:sectPr w:rsidR="00E918C5" w:rsidRPr="006A68D4" w:rsidSect="00BE4D99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9F9D35" w14:textId="77777777" w:rsidR="00E918C5" w:rsidRPr="006A68D4" w:rsidRDefault="00E918C5"/>
    <w:p w14:paraId="76F6F606" w14:textId="77777777" w:rsidR="00842083" w:rsidRPr="00396A95" w:rsidRDefault="00842083" w:rsidP="00842083">
      <w:pPr>
        <w:pStyle w:val="Title"/>
        <w:rPr>
          <w:rFonts w:cs="Arial"/>
          <w:szCs w:val="36"/>
        </w:rPr>
      </w:pPr>
      <w:bookmarkStart w:id="0" w:name="_Toc447095913"/>
      <w:r w:rsidRPr="00396A95">
        <w:rPr>
          <w:rFonts w:cs="Arial"/>
          <w:szCs w:val="36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42083" w:rsidRPr="006A68D4" w14:paraId="1F99B3FF" w14:textId="77777777" w:rsidTr="00DD4DC4">
        <w:tc>
          <w:tcPr>
            <w:tcW w:w="2304" w:type="dxa"/>
          </w:tcPr>
          <w:p w14:paraId="7B493BB0" w14:textId="77777777" w:rsidR="00842083" w:rsidRPr="006A68D4" w:rsidRDefault="00842083" w:rsidP="00DD4DC4">
            <w:pPr>
              <w:pStyle w:val="Tabletext"/>
              <w:jc w:val="center"/>
              <w:rPr>
                <w:b/>
              </w:rPr>
            </w:pPr>
            <w:r w:rsidRPr="006A68D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383C45A" w14:textId="77777777" w:rsidR="00842083" w:rsidRPr="006A68D4" w:rsidRDefault="00842083" w:rsidP="00DD4DC4">
            <w:pPr>
              <w:pStyle w:val="Tabletext"/>
              <w:jc w:val="center"/>
              <w:rPr>
                <w:b/>
              </w:rPr>
            </w:pPr>
            <w:r w:rsidRPr="006A68D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1107C73" w14:textId="77777777" w:rsidR="00842083" w:rsidRPr="006A68D4" w:rsidRDefault="00842083" w:rsidP="00DD4DC4">
            <w:pPr>
              <w:pStyle w:val="Tabletext"/>
              <w:jc w:val="center"/>
              <w:rPr>
                <w:b/>
              </w:rPr>
            </w:pPr>
            <w:r w:rsidRPr="006A68D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8313C1" w14:textId="77777777" w:rsidR="00842083" w:rsidRPr="006A68D4" w:rsidRDefault="00842083" w:rsidP="00DD4DC4">
            <w:pPr>
              <w:pStyle w:val="Tabletext"/>
              <w:jc w:val="center"/>
              <w:rPr>
                <w:b/>
              </w:rPr>
            </w:pPr>
            <w:r w:rsidRPr="006A68D4">
              <w:rPr>
                <w:b/>
              </w:rPr>
              <w:t>Author</w:t>
            </w:r>
          </w:p>
        </w:tc>
      </w:tr>
      <w:tr w:rsidR="00842083" w:rsidRPr="006A68D4" w14:paraId="1108D41B" w14:textId="77777777" w:rsidTr="00DD4DC4">
        <w:tc>
          <w:tcPr>
            <w:tcW w:w="2304" w:type="dxa"/>
          </w:tcPr>
          <w:p w14:paraId="669B1227" w14:textId="782B9AD2" w:rsidR="00842083" w:rsidRPr="006A68D4" w:rsidRDefault="00842083" w:rsidP="00DD4DC4">
            <w:pPr>
              <w:pStyle w:val="Tabletext"/>
            </w:pPr>
            <w:r w:rsidRPr="006A68D4">
              <w:t>2</w:t>
            </w:r>
            <w:r w:rsidR="00C053F1">
              <w:t>5</w:t>
            </w:r>
            <w:r w:rsidRPr="006A68D4">
              <w:t>/Feb/2024</w:t>
            </w:r>
          </w:p>
        </w:tc>
        <w:tc>
          <w:tcPr>
            <w:tcW w:w="1152" w:type="dxa"/>
          </w:tcPr>
          <w:p w14:paraId="66145E2C" w14:textId="480B1BD5" w:rsidR="00842083" w:rsidRPr="006A68D4" w:rsidRDefault="00842083" w:rsidP="00DD4DC4">
            <w:pPr>
              <w:pStyle w:val="Tabletext"/>
            </w:pPr>
            <w:r w:rsidRPr="006A68D4">
              <w:t>1.0</w:t>
            </w:r>
          </w:p>
        </w:tc>
        <w:tc>
          <w:tcPr>
            <w:tcW w:w="3744" w:type="dxa"/>
          </w:tcPr>
          <w:p w14:paraId="366DAF6D" w14:textId="739B9502" w:rsidR="00842083" w:rsidRPr="006A68D4" w:rsidRDefault="00842083" w:rsidP="00DD4DC4">
            <w:pPr>
              <w:pStyle w:val="Tabletext"/>
            </w:pPr>
            <w:r w:rsidRPr="006A68D4">
              <w:t>Initial publishing</w:t>
            </w:r>
          </w:p>
        </w:tc>
        <w:tc>
          <w:tcPr>
            <w:tcW w:w="2304" w:type="dxa"/>
          </w:tcPr>
          <w:p w14:paraId="28EFC297" w14:textId="7546D0AF" w:rsidR="00842083" w:rsidRPr="006A68D4" w:rsidRDefault="00842083" w:rsidP="00DD4DC4">
            <w:pPr>
              <w:pStyle w:val="Tabletext"/>
            </w:pPr>
            <w:r w:rsidRPr="006A68D4">
              <w:t>Schmidt, S.</w:t>
            </w:r>
          </w:p>
        </w:tc>
      </w:tr>
      <w:tr w:rsidR="00842083" w:rsidRPr="006A68D4" w14:paraId="3394655D" w14:textId="77777777" w:rsidTr="00DD4DC4">
        <w:tc>
          <w:tcPr>
            <w:tcW w:w="2304" w:type="dxa"/>
          </w:tcPr>
          <w:p w14:paraId="1ABDBA98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1152" w:type="dxa"/>
          </w:tcPr>
          <w:p w14:paraId="7BAC2831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3744" w:type="dxa"/>
          </w:tcPr>
          <w:p w14:paraId="168ECAE0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2304" w:type="dxa"/>
          </w:tcPr>
          <w:p w14:paraId="7F09BC94" w14:textId="77777777" w:rsidR="00842083" w:rsidRPr="006A68D4" w:rsidRDefault="00842083" w:rsidP="00DD4DC4">
            <w:pPr>
              <w:pStyle w:val="Tabletext"/>
            </w:pPr>
          </w:p>
        </w:tc>
      </w:tr>
      <w:tr w:rsidR="00842083" w:rsidRPr="006A68D4" w14:paraId="40192054" w14:textId="77777777" w:rsidTr="00DD4DC4">
        <w:tc>
          <w:tcPr>
            <w:tcW w:w="2304" w:type="dxa"/>
          </w:tcPr>
          <w:p w14:paraId="5F017454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1152" w:type="dxa"/>
          </w:tcPr>
          <w:p w14:paraId="55D8A8A9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3744" w:type="dxa"/>
          </w:tcPr>
          <w:p w14:paraId="73CB35AE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2304" w:type="dxa"/>
          </w:tcPr>
          <w:p w14:paraId="55D74FB1" w14:textId="77777777" w:rsidR="00842083" w:rsidRPr="006A68D4" w:rsidRDefault="00842083" w:rsidP="00DD4DC4">
            <w:pPr>
              <w:pStyle w:val="Tabletext"/>
            </w:pPr>
          </w:p>
        </w:tc>
      </w:tr>
      <w:tr w:rsidR="00842083" w:rsidRPr="006A68D4" w14:paraId="0B671CDF" w14:textId="77777777" w:rsidTr="00DD4DC4">
        <w:tc>
          <w:tcPr>
            <w:tcW w:w="2304" w:type="dxa"/>
          </w:tcPr>
          <w:p w14:paraId="1EFA06FE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1152" w:type="dxa"/>
          </w:tcPr>
          <w:p w14:paraId="78EAF4E5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3744" w:type="dxa"/>
          </w:tcPr>
          <w:p w14:paraId="68C1DEFD" w14:textId="77777777" w:rsidR="00842083" w:rsidRPr="006A68D4" w:rsidRDefault="00842083" w:rsidP="00DD4DC4">
            <w:pPr>
              <w:pStyle w:val="Tabletext"/>
            </w:pPr>
          </w:p>
        </w:tc>
        <w:tc>
          <w:tcPr>
            <w:tcW w:w="2304" w:type="dxa"/>
          </w:tcPr>
          <w:p w14:paraId="70947C07" w14:textId="77777777" w:rsidR="00842083" w:rsidRPr="006A68D4" w:rsidRDefault="00842083" w:rsidP="00DD4DC4">
            <w:pPr>
              <w:pStyle w:val="Tabletext"/>
            </w:pPr>
          </w:p>
        </w:tc>
      </w:tr>
    </w:tbl>
    <w:p w14:paraId="638CCAD3" w14:textId="77777777" w:rsidR="00E918C5" w:rsidRPr="006A68D4" w:rsidRDefault="00E918C5">
      <w:pPr>
        <w:pStyle w:val="BodyText"/>
        <w:rPr>
          <w:rStyle w:val="Strong"/>
        </w:rPr>
      </w:pPr>
    </w:p>
    <w:bookmarkEnd w:id="0"/>
    <w:p w14:paraId="40F0DC3E" w14:textId="4C92921E" w:rsidR="00E918C5" w:rsidRPr="00690828" w:rsidRDefault="00103109" w:rsidP="009E197B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r w:rsidRPr="006A68D4">
        <w:rPr>
          <w:rFonts w:ascii="Times New Roman" w:hAnsi="Times New Roman"/>
          <w:sz w:val="20"/>
        </w:rPr>
        <w:br w:type="page"/>
      </w:r>
      <w:commentRangeStart w:id="1"/>
      <w:commentRangeStart w:id="2"/>
      <w:r w:rsidR="002A5843" w:rsidRPr="00690828">
        <w:rPr>
          <w:rFonts w:ascii="Times New Roman" w:hAnsi="Times New Roman"/>
          <w:sz w:val="28"/>
          <w:szCs w:val="28"/>
        </w:rPr>
        <w:lastRenderedPageBreak/>
        <w:t>Software Development Risk Assessment</w:t>
      </w:r>
      <w:commentRangeEnd w:id="1"/>
      <w:r w:rsidR="001205BE">
        <w:rPr>
          <w:rStyle w:val="CommentReference"/>
          <w:rFonts w:ascii="Times New Roman" w:hAnsi="Times New Roman"/>
          <w:b w:val="0"/>
        </w:rPr>
        <w:commentReference w:id="1"/>
      </w:r>
      <w:commentRangeEnd w:id="2"/>
      <w:r w:rsidR="001127A0">
        <w:rPr>
          <w:rStyle w:val="CommentReference"/>
          <w:rFonts w:ascii="Times New Roman" w:hAnsi="Times New Roman"/>
          <w:b w:val="0"/>
        </w:rPr>
        <w:commentReference w:id="2"/>
      </w:r>
    </w:p>
    <w:p w14:paraId="21DCEF9F" w14:textId="77777777" w:rsidR="00690828" w:rsidRDefault="00690828" w:rsidP="000D201C">
      <w:pPr>
        <w:rPr>
          <w:b/>
          <w:bCs/>
          <w:i/>
          <w:iCs/>
        </w:rPr>
      </w:pPr>
    </w:p>
    <w:p w14:paraId="392A60A8" w14:textId="51D635DB" w:rsidR="000D201C" w:rsidRPr="006A68D4" w:rsidRDefault="000D201C" w:rsidP="000D201C">
      <w:pPr>
        <w:rPr>
          <w:i/>
          <w:iCs/>
        </w:rPr>
      </w:pPr>
      <w:r w:rsidRPr="006A68D4">
        <w:rPr>
          <w:b/>
          <w:bCs/>
          <w:i/>
          <w:iCs/>
        </w:rPr>
        <w:t>Note</w:t>
      </w:r>
      <w:r w:rsidRPr="006A68D4">
        <w:rPr>
          <w:i/>
          <w:iCs/>
        </w:rPr>
        <w:t xml:space="preserve">: </w:t>
      </w:r>
      <w:r w:rsidR="00DC6DFB" w:rsidRPr="006A68D4">
        <w:rPr>
          <w:i/>
          <w:iCs/>
        </w:rPr>
        <w:t>This document is derived from t</w:t>
      </w:r>
      <w:r w:rsidR="009F462F" w:rsidRPr="006A68D4">
        <w:rPr>
          <w:i/>
          <w:iCs/>
        </w:rPr>
        <w:t xml:space="preserve">he framework established by the </w:t>
      </w:r>
      <w:r w:rsidR="002E4E45">
        <w:rPr>
          <w:i/>
          <w:iCs/>
        </w:rPr>
        <w:t xml:space="preserve">U.S. </w:t>
      </w:r>
      <w:r w:rsidR="009F462F" w:rsidRPr="006A68D4">
        <w:rPr>
          <w:i/>
          <w:iCs/>
        </w:rPr>
        <w:t xml:space="preserve">Department </w:t>
      </w:r>
      <w:r w:rsidR="002E4E45" w:rsidRPr="006A68D4">
        <w:rPr>
          <w:i/>
          <w:iCs/>
        </w:rPr>
        <w:t>of</w:t>
      </w:r>
      <w:r w:rsidR="009F462F" w:rsidRPr="006A68D4">
        <w:rPr>
          <w:i/>
          <w:iCs/>
        </w:rPr>
        <w:t xml:space="preserve"> Energy Software Engineering Methodology.</w:t>
      </w:r>
      <w:r w:rsidR="003B6BA6" w:rsidRPr="006A68D4">
        <w:rPr>
          <w:i/>
          <w:iCs/>
        </w:rPr>
        <w:t xml:space="preserve"> The original document can be found at </w:t>
      </w:r>
      <w:r w:rsidR="009178AF" w:rsidRPr="006A68D4">
        <w:rPr>
          <w:i/>
          <w:iCs/>
        </w:rPr>
        <w:t>[</w:t>
      </w:r>
      <w:r w:rsidR="003B6BA6" w:rsidRPr="006A68D4">
        <w:rPr>
          <w:i/>
          <w:iCs/>
        </w:rPr>
        <w:t>https://www.energy.gov/sites/prod/files/cioprod/documents/riskasmt.pdf</w:t>
      </w:r>
      <w:r w:rsidR="009178AF" w:rsidRPr="006A68D4">
        <w:rPr>
          <w:i/>
          <w:iCs/>
        </w:rPr>
        <w:t>].</w:t>
      </w:r>
    </w:p>
    <w:p w14:paraId="3D3197B8" w14:textId="77777777" w:rsidR="009178AF" w:rsidRPr="006A68D4" w:rsidRDefault="009178AF" w:rsidP="000D201C"/>
    <w:p w14:paraId="0F32D48C" w14:textId="77777777" w:rsidR="006E07E2" w:rsidRPr="006A68D4" w:rsidRDefault="00D42366" w:rsidP="000D201C">
      <w:pPr>
        <w:rPr>
          <w:b/>
          <w:bCs/>
        </w:rPr>
      </w:pPr>
      <w:r w:rsidRPr="006A68D4">
        <w:rPr>
          <w:b/>
          <w:bCs/>
        </w:rPr>
        <w:t>The following is a list of potential project risks. Each risk that receives a high score should have a corresponding plan for management and control of that risk. Circle the one that best describes that item’s risk.</w:t>
      </w:r>
    </w:p>
    <w:p w14:paraId="28494021" w14:textId="77777777" w:rsidR="006E07E2" w:rsidRPr="006A68D4" w:rsidRDefault="006E07E2" w:rsidP="000D201C"/>
    <w:p w14:paraId="4CAEF3F3" w14:textId="77777777" w:rsidR="006E07E2" w:rsidRPr="006A68D4" w:rsidRDefault="00D42366" w:rsidP="000D201C">
      <w:pPr>
        <w:rPr>
          <w:b/>
          <w:bCs/>
        </w:rPr>
      </w:pPr>
      <w:r w:rsidRPr="006A68D4">
        <w:rPr>
          <w:b/>
          <w:bCs/>
        </w:rPr>
        <w:t>Apply the following criteria when selecting the appropriate risk level.</w:t>
      </w:r>
    </w:p>
    <w:p w14:paraId="76E43A4D" w14:textId="77777777" w:rsidR="006E07E2" w:rsidRPr="006A68D4" w:rsidRDefault="006E07E2" w:rsidP="000D201C"/>
    <w:p w14:paraId="34F3424E" w14:textId="77777777" w:rsidR="006E07E2" w:rsidRPr="006A68D4" w:rsidRDefault="00D42366" w:rsidP="000D201C">
      <w:r w:rsidRPr="006A68D4">
        <w:rPr>
          <w:b/>
          <w:bCs/>
        </w:rPr>
        <w:t>Low</w:t>
      </w:r>
      <w:r w:rsidRPr="006A68D4">
        <w:t xml:space="preserve"> - Very unlikely that this will occur during the life of the </w:t>
      </w:r>
      <w:proofErr w:type="gramStart"/>
      <w:r w:rsidRPr="006A68D4">
        <w:t>project</w:t>
      </w:r>
      <w:proofErr w:type="gramEnd"/>
    </w:p>
    <w:p w14:paraId="7C52D0A2" w14:textId="77777777" w:rsidR="006E07E2" w:rsidRPr="006A68D4" w:rsidRDefault="006E07E2" w:rsidP="000D201C"/>
    <w:p w14:paraId="38485DE5" w14:textId="77777777" w:rsidR="006E07E2" w:rsidRPr="006A68D4" w:rsidRDefault="00D42366" w:rsidP="000D201C">
      <w:r w:rsidRPr="006A68D4">
        <w:rPr>
          <w:b/>
          <w:bCs/>
        </w:rPr>
        <w:t>Medium</w:t>
      </w:r>
      <w:r w:rsidRPr="006A68D4">
        <w:t xml:space="preserve"> - There is a 50-50 chance that this will occur during the life of the </w:t>
      </w:r>
      <w:proofErr w:type="gramStart"/>
      <w:r w:rsidRPr="006A68D4">
        <w:t>project</w:t>
      </w:r>
      <w:proofErr w:type="gramEnd"/>
    </w:p>
    <w:p w14:paraId="7B26B2EC" w14:textId="77777777" w:rsidR="006E07E2" w:rsidRPr="006A68D4" w:rsidRDefault="006E07E2" w:rsidP="000D201C"/>
    <w:p w14:paraId="54305394" w14:textId="77777777" w:rsidR="006E07E2" w:rsidRPr="006A68D4" w:rsidRDefault="00D42366" w:rsidP="000D201C">
      <w:r w:rsidRPr="006A68D4">
        <w:rPr>
          <w:b/>
          <w:bCs/>
        </w:rPr>
        <w:t>High</w:t>
      </w:r>
      <w:r w:rsidRPr="006A68D4">
        <w:t xml:space="preserve"> - Very likely that this will occur during the life of the </w:t>
      </w:r>
      <w:proofErr w:type="gramStart"/>
      <w:r w:rsidRPr="006A68D4">
        <w:t>project</w:t>
      </w:r>
      <w:proofErr w:type="gramEnd"/>
    </w:p>
    <w:p w14:paraId="105938B2" w14:textId="77777777" w:rsidR="00F272F9" w:rsidRPr="006A68D4" w:rsidRDefault="00F272F9" w:rsidP="000D201C"/>
    <w:p w14:paraId="60FFA0DF" w14:textId="77777777" w:rsidR="006E07E2" w:rsidRPr="006A68D4" w:rsidRDefault="006E07E2" w:rsidP="000D201C"/>
    <w:p w14:paraId="49A8D985" w14:textId="3F249C5A" w:rsidR="00AE6305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>Acquisition of items critical to project success (e.g., hardware and/or software resources) could be delayed in the procurement process.</w:t>
      </w:r>
      <w:r w:rsidR="00AE0453" w:rsidRPr="006A68D4">
        <w:t xml:space="preserve"> </w:t>
      </w:r>
      <w:r w:rsidRPr="007937A0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</w:t>
      </w:r>
      <w:r w:rsidRPr="007937A0">
        <w:rPr>
          <w:b/>
          <w:bCs/>
        </w:rPr>
        <w:t>Medium</w:t>
      </w:r>
      <w:r w:rsidRPr="006A68D4">
        <w:rPr>
          <w:b/>
          <w:bCs/>
        </w:rPr>
        <w:t xml:space="preserve"> High</w:t>
      </w:r>
    </w:p>
    <w:p w14:paraId="37EF5308" w14:textId="7A8EF8A4" w:rsidR="00AE6305" w:rsidRPr="006A68D4" w:rsidRDefault="00D42366" w:rsidP="00F272F9">
      <w:pPr>
        <w:numPr>
          <w:ilvl w:val="0"/>
          <w:numId w:val="48"/>
        </w:numPr>
        <w:spacing w:line="480" w:lineRule="auto"/>
        <w:rPr>
          <w:b/>
          <w:bCs/>
        </w:rPr>
      </w:pPr>
      <w:r w:rsidRPr="006A68D4">
        <w:t xml:space="preserve">Project schedule will exceed one fiscal year.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776BB050" w14:textId="59E5A483" w:rsidR="00AE6305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Burden rates (i.e., cost of labor), support costs, or other charges will increase from year to year.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33FCC778" w14:textId="77777777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Project team member(s) will not be in place when required. </w:t>
      </w:r>
      <w:r w:rsidRPr="006A68D4">
        <w:rPr>
          <w:b/>
          <w:bCs/>
        </w:rPr>
        <w:t xml:space="preserve">Low </w:t>
      </w:r>
      <w:r w:rsidRPr="006A68D4">
        <w:rPr>
          <w:b/>
          <w:bCs/>
          <w:highlight w:val="yellow"/>
        </w:rPr>
        <w:t>Medium</w:t>
      </w:r>
      <w:r w:rsidRPr="006A68D4">
        <w:rPr>
          <w:b/>
          <w:bCs/>
        </w:rPr>
        <w:t xml:space="preserve"> High</w:t>
      </w:r>
      <w:r w:rsidRPr="006A68D4">
        <w:t xml:space="preserve"> </w:t>
      </w:r>
    </w:p>
    <w:p w14:paraId="0CED8296" w14:textId="59E51605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Risks associated with using off-the-shelf packages. </w:t>
      </w:r>
      <w:r w:rsidRPr="006B213F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</w:t>
      </w:r>
      <w:r w:rsidRPr="006B213F">
        <w:rPr>
          <w:b/>
          <w:bCs/>
        </w:rPr>
        <w:t>Medium</w:t>
      </w:r>
      <w:r w:rsidRPr="006A68D4">
        <w:rPr>
          <w:b/>
          <w:bCs/>
        </w:rPr>
        <w:t xml:space="preserve"> High</w:t>
      </w:r>
    </w:p>
    <w:p w14:paraId="51AA0461" w14:textId="448AB541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Risks associated with any conversions of existing data required before implementation of a new system.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47A89BEB" w14:textId="4DBED783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Risks with the hardware and software (the development platform) chosen to perform project development. e.g., can this hardware and software handle the workload required to complete the project?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6278E120" w14:textId="0D9A0A98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Chance that the workstation environment of the intended user will change after requirements are gathered.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4E0AFD57" w14:textId="0B02F795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Risks to the project caused by requirements that are inadequately defined. </w:t>
      </w:r>
      <w:r w:rsidRPr="006A68D4">
        <w:rPr>
          <w:b/>
          <w:bCs/>
        </w:rPr>
        <w:t xml:space="preserve">Low </w:t>
      </w:r>
      <w:r w:rsidRPr="006A68D4">
        <w:rPr>
          <w:b/>
          <w:bCs/>
          <w:highlight w:val="yellow"/>
        </w:rPr>
        <w:t>Medium</w:t>
      </w:r>
      <w:r w:rsidRPr="006A68D4">
        <w:rPr>
          <w:b/>
          <w:bCs/>
        </w:rPr>
        <w:t xml:space="preserve"> High</w:t>
      </w:r>
    </w:p>
    <w:p w14:paraId="5A4FB382" w14:textId="0BE0D4AA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Chance that </w:t>
      </w:r>
      <w:proofErr w:type="gramStart"/>
      <w:r w:rsidRPr="006A68D4">
        <w:t>changes,</w:t>
      </w:r>
      <w:proofErr w:type="gramEnd"/>
      <w:r w:rsidRPr="006A68D4">
        <w:t xml:space="preserve"> in critical personnel on either the government or contractor side, will occur during the life of the project.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3A839D1B" w14:textId="656654A0" w:rsidR="00117DC9" w:rsidRDefault="00D42366" w:rsidP="00F272F9">
      <w:pPr>
        <w:numPr>
          <w:ilvl w:val="0"/>
          <w:numId w:val="48"/>
        </w:numPr>
        <w:spacing w:line="480" w:lineRule="auto"/>
        <w:rPr>
          <w:b/>
          <w:bCs/>
        </w:rPr>
      </w:pPr>
      <w:r w:rsidRPr="006A68D4">
        <w:t xml:space="preserve">Risk to the project of a facility move during the project.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5357ABCA" w14:textId="003F0234" w:rsidR="00AE0453" w:rsidRPr="006A68D4" w:rsidRDefault="00AE0453" w:rsidP="002E4E45">
      <w:pPr>
        <w:spacing w:line="480" w:lineRule="auto"/>
      </w:pPr>
    </w:p>
    <w:p w14:paraId="1BDFC4D8" w14:textId="21E8773A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Risks associated with personnel assigned to the project who may be pulled off anytime for another assignment. </w:t>
      </w:r>
      <w:r w:rsidRPr="006A68D4">
        <w:rPr>
          <w:b/>
          <w:bCs/>
        </w:rPr>
        <w:t xml:space="preserve">Low </w:t>
      </w:r>
      <w:r w:rsidRPr="006A68D4">
        <w:rPr>
          <w:b/>
          <w:bCs/>
          <w:highlight w:val="yellow"/>
        </w:rPr>
        <w:t>Medium</w:t>
      </w:r>
      <w:r w:rsidRPr="006A68D4">
        <w:rPr>
          <w:b/>
          <w:bCs/>
        </w:rPr>
        <w:t xml:space="preserve"> High</w:t>
      </w:r>
    </w:p>
    <w:p w14:paraId="09D7F6F0" w14:textId="6E32A17E" w:rsidR="00AE0453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 xml:space="preserve">Risk </w:t>
      </w:r>
      <w:proofErr w:type="gramStart"/>
      <w:r w:rsidRPr="006A68D4">
        <w:t>to cost</w:t>
      </w:r>
      <w:proofErr w:type="gramEnd"/>
      <w:r w:rsidRPr="006A68D4">
        <w:t xml:space="preserve"> and schedule involved with the use of subcontractors as a part of the development effort.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78DEE954" w14:textId="276A4C2C" w:rsidR="00D30882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>Chance that system owner or user support staff required to be available to the development team during the software development cycle will not be available. (</w:t>
      </w:r>
      <w:proofErr w:type="gramStart"/>
      <w:r w:rsidRPr="006A68D4">
        <w:t>Take into account</w:t>
      </w:r>
      <w:proofErr w:type="gramEnd"/>
      <w:r w:rsidRPr="006A68D4">
        <w:t xml:space="preserve"> situations such as use/lose leave, vacation, training, travel, and meetings).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78099E1D" w14:textId="739E5F5B" w:rsidR="00D30882" w:rsidRPr="006A68D4" w:rsidRDefault="00D42366" w:rsidP="00F272F9">
      <w:pPr>
        <w:numPr>
          <w:ilvl w:val="0"/>
          <w:numId w:val="48"/>
        </w:numPr>
        <w:spacing w:line="480" w:lineRule="auto"/>
      </w:pPr>
      <w:r w:rsidRPr="006A68D4">
        <w:t>Risk caused by a system owner's or user's representative not participating in the change control process used to manage all proposed changes to the software product from the Requirements Definition Stage forward</w:t>
      </w:r>
      <w:r w:rsidR="000C483E" w:rsidRPr="006A68D4">
        <w:t>.</w:t>
      </w:r>
      <w:r w:rsidRPr="006A68D4">
        <w:t xml:space="preserve">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439B430E" w14:textId="3C45CE5C" w:rsidR="000C483E" w:rsidRPr="006A68D4" w:rsidRDefault="00D42366" w:rsidP="004E7DB4">
      <w:pPr>
        <w:numPr>
          <w:ilvl w:val="0"/>
          <w:numId w:val="48"/>
        </w:numPr>
        <w:spacing w:line="480" w:lineRule="auto"/>
        <w:rPr>
          <w:b/>
          <w:bCs/>
        </w:rPr>
      </w:pPr>
      <w:r w:rsidRPr="006A68D4">
        <w:t xml:space="preserve">Risk to the project resulting from a mandated/mandatory completion date for the project. </w:t>
      </w:r>
      <w:r w:rsidRPr="006A68D4">
        <w:rPr>
          <w:b/>
          <w:bCs/>
          <w:highlight w:val="green"/>
        </w:rPr>
        <w:t>Low</w:t>
      </w:r>
      <w:r w:rsidRPr="006A68D4">
        <w:rPr>
          <w:b/>
          <w:bCs/>
        </w:rPr>
        <w:t xml:space="preserve"> Medium High</w:t>
      </w:r>
    </w:p>
    <w:p w14:paraId="201E0F83" w14:textId="75E3B000" w:rsidR="004E7DB4" w:rsidRPr="006A68D4" w:rsidRDefault="000C483E" w:rsidP="000C483E">
      <w:pPr>
        <w:spacing w:line="480" w:lineRule="auto"/>
        <w:ind w:left="60"/>
        <w:rPr>
          <w:b/>
          <w:bCs/>
        </w:rPr>
      </w:pPr>
      <w:r w:rsidRPr="006A68D4">
        <w:rPr>
          <w:b/>
          <w:bCs/>
        </w:rPr>
        <w:br w:type="page"/>
      </w:r>
      <w:r w:rsidR="00A50170" w:rsidRPr="006A68D4">
        <w:rPr>
          <w:b/>
          <w:bCs/>
        </w:rPr>
        <w:lastRenderedPageBreak/>
        <w:t xml:space="preserve">The following risks are either present or absent. A </w:t>
      </w:r>
      <w:r w:rsidR="008E40BF" w:rsidRPr="006A68D4">
        <w:rPr>
          <w:b/>
          <w:bCs/>
        </w:rPr>
        <w:t>red</w:t>
      </w:r>
      <w:r w:rsidR="00A50170" w:rsidRPr="006A68D4">
        <w:rPr>
          <w:b/>
          <w:bCs/>
        </w:rPr>
        <w:t xml:space="preserve"> answer acknowledges that the risk exists and that a plan must be in place to deal with it.</w:t>
      </w:r>
    </w:p>
    <w:p w14:paraId="1BA7508D" w14:textId="1E019C24" w:rsidR="00BE7F34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Elements of the project are being supplied by groups over which the project manager does not have direct control. </w:t>
      </w:r>
      <w:r w:rsidRPr="006A68D4">
        <w:rPr>
          <w:b/>
          <w:bCs/>
          <w:highlight w:val="red"/>
        </w:rPr>
        <w:t>Yes</w:t>
      </w:r>
      <w:r w:rsidRPr="006A68D4">
        <w:rPr>
          <w:b/>
          <w:bCs/>
        </w:rPr>
        <w:t xml:space="preserve"> No</w:t>
      </w:r>
    </w:p>
    <w:p w14:paraId="68517530" w14:textId="60FE7CAB" w:rsidR="00BE7F34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Two or more separate groups are developing parts of the software being delivered. </w:t>
      </w:r>
      <w:r w:rsidRPr="006A68D4">
        <w:rPr>
          <w:b/>
          <w:bCs/>
        </w:rPr>
        <w:t xml:space="preserve">Yes </w:t>
      </w:r>
      <w:r w:rsidRPr="006A68D4">
        <w:rPr>
          <w:b/>
          <w:bCs/>
          <w:highlight w:val="green"/>
        </w:rPr>
        <w:t>No</w:t>
      </w:r>
    </w:p>
    <w:p w14:paraId="0416E8C5" w14:textId="038002F7" w:rsidR="00BE7F34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development team is unfamiliar with the environment being used (e.g., is the technology unfamiliar, has the team done this type of work before?). </w:t>
      </w:r>
      <w:r w:rsidRPr="006A68D4">
        <w:rPr>
          <w:b/>
          <w:bCs/>
          <w:highlight w:val="red"/>
        </w:rPr>
        <w:t>Yes</w:t>
      </w:r>
      <w:r w:rsidRPr="006A68D4">
        <w:rPr>
          <w:b/>
          <w:bCs/>
        </w:rPr>
        <w:t xml:space="preserve"> No</w:t>
      </w:r>
    </w:p>
    <w:p w14:paraId="70E91F5D" w14:textId="0EE1B240" w:rsidR="00BE7F34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This is a first-time assignment for the project manager. </w:t>
      </w:r>
      <w:r w:rsidRPr="006A68D4">
        <w:rPr>
          <w:b/>
          <w:bCs/>
        </w:rPr>
        <w:t xml:space="preserve">Yes </w:t>
      </w:r>
      <w:r w:rsidRPr="006A68D4">
        <w:rPr>
          <w:b/>
          <w:bCs/>
          <w:highlight w:val="green"/>
        </w:rPr>
        <w:t>N</w:t>
      </w:r>
      <w:r w:rsidR="00887FB6" w:rsidRPr="006A68D4">
        <w:rPr>
          <w:b/>
          <w:bCs/>
          <w:highlight w:val="green"/>
        </w:rPr>
        <w:t>o</w:t>
      </w:r>
    </w:p>
    <w:p w14:paraId="694D1AF9" w14:textId="1879E23F" w:rsidR="00BE7F34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project is significantly larger or smaller than what the team is used to working on. </w:t>
      </w:r>
      <w:r w:rsidRPr="006A68D4">
        <w:rPr>
          <w:b/>
          <w:bCs/>
        </w:rPr>
        <w:t xml:space="preserve">Yes </w:t>
      </w:r>
      <w:r w:rsidRPr="006A68D4">
        <w:rPr>
          <w:b/>
          <w:bCs/>
          <w:highlight w:val="green"/>
        </w:rPr>
        <w:t>No</w:t>
      </w:r>
    </w:p>
    <w:p w14:paraId="475E65EF" w14:textId="70DAE46B" w:rsidR="00887FB6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project team has </w:t>
      </w:r>
      <w:proofErr w:type="gramStart"/>
      <w:r w:rsidRPr="006A68D4">
        <w:t>correct</w:t>
      </w:r>
      <w:proofErr w:type="gramEnd"/>
      <w:r w:rsidRPr="006A68D4">
        <w:t xml:space="preserve"> skills and can operate at the proper level to complete the needed work. </w:t>
      </w:r>
      <w:r w:rsidRPr="006A68D4">
        <w:rPr>
          <w:b/>
          <w:bCs/>
          <w:highlight w:val="green"/>
        </w:rPr>
        <w:t>Yes</w:t>
      </w:r>
      <w:r w:rsidRPr="006A68D4">
        <w:rPr>
          <w:b/>
          <w:bCs/>
        </w:rPr>
        <w:t xml:space="preserve"> No</w:t>
      </w:r>
    </w:p>
    <w:p w14:paraId="64C47E45" w14:textId="0C7147C4" w:rsidR="00887FB6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Additional skilled persons or resources are readily available </w:t>
      </w:r>
      <w:proofErr w:type="gramStart"/>
      <w:r w:rsidRPr="006A68D4">
        <w:t>in the event that</w:t>
      </w:r>
      <w:proofErr w:type="gramEnd"/>
      <w:r w:rsidRPr="006A68D4">
        <w:t xml:space="preserve"> problems occur on the project. </w:t>
      </w:r>
      <w:r w:rsidRPr="00E14D7F">
        <w:rPr>
          <w:b/>
          <w:bCs/>
          <w:highlight w:val="green"/>
        </w:rPr>
        <w:t>Yes</w:t>
      </w:r>
      <w:r w:rsidRPr="006A68D4">
        <w:rPr>
          <w:b/>
          <w:bCs/>
        </w:rPr>
        <w:t xml:space="preserve"> </w:t>
      </w:r>
      <w:r w:rsidRPr="00E14D7F">
        <w:rPr>
          <w:b/>
          <w:bCs/>
        </w:rPr>
        <w:t>No</w:t>
      </w:r>
    </w:p>
    <w:p w14:paraId="09743BD6" w14:textId="2E0838A1" w:rsidR="00887FB6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Development and support groups are at different sites. </w:t>
      </w:r>
      <w:r w:rsidRPr="006A68D4">
        <w:rPr>
          <w:b/>
          <w:bCs/>
        </w:rPr>
        <w:t xml:space="preserve">Yes </w:t>
      </w:r>
      <w:r w:rsidRPr="006A68D4">
        <w:rPr>
          <w:b/>
          <w:bCs/>
          <w:highlight w:val="green"/>
        </w:rPr>
        <w:t>No</w:t>
      </w:r>
    </w:p>
    <w:p w14:paraId="0B47E19E" w14:textId="13B1FB73" w:rsidR="00887FB6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Project Plan accounts for vacation and sick leave by assigned personnel. </w:t>
      </w:r>
      <w:r w:rsidRPr="006A68D4">
        <w:rPr>
          <w:b/>
          <w:bCs/>
          <w:highlight w:val="green"/>
        </w:rPr>
        <w:t>Yes</w:t>
      </w:r>
      <w:r w:rsidRPr="006A68D4">
        <w:rPr>
          <w:b/>
          <w:bCs/>
        </w:rPr>
        <w:t xml:space="preserve"> No</w:t>
      </w:r>
    </w:p>
    <w:p w14:paraId="1FB068F7" w14:textId="20CDD6B1" w:rsidR="00887FB6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client or system owner supports a disciplined approach to software development, starting with a formal project plan. </w:t>
      </w:r>
      <w:r w:rsidRPr="006A68D4">
        <w:rPr>
          <w:b/>
          <w:bCs/>
          <w:highlight w:val="green"/>
        </w:rPr>
        <w:t>Yes</w:t>
      </w:r>
      <w:r w:rsidRPr="006A68D4">
        <w:rPr>
          <w:b/>
          <w:bCs/>
        </w:rPr>
        <w:t xml:space="preserve"> No</w:t>
      </w:r>
    </w:p>
    <w:p w14:paraId="2C6A0D29" w14:textId="6595042B" w:rsidR="00A50170" w:rsidRPr="006A68D4" w:rsidRDefault="00BE7F34" w:rsidP="00BE7F34">
      <w:pPr>
        <w:numPr>
          <w:ilvl w:val="0"/>
          <w:numId w:val="49"/>
        </w:numPr>
        <w:spacing w:line="480" w:lineRule="auto"/>
        <w:rPr>
          <w:b/>
          <w:bCs/>
        </w:rPr>
      </w:pPr>
      <w:r w:rsidRPr="006A68D4">
        <w:t xml:space="preserve">The project will receive the necessary level of support in terms of using repeatable processes (e.g., approvers will fully exercise their concurrence authority at stage exit). </w:t>
      </w:r>
      <w:r w:rsidRPr="006A68D4">
        <w:rPr>
          <w:b/>
          <w:bCs/>
          <w:highlight w:val="green"/>
        </w:rPr>
        <w:t>Yes</w:t>
      </w:r>
      <w:r w:rsidRPr="006A68D4">
        <w:rPr>
          <w:b/>
          <w:bCs/>
        </w:rPr>
        <w:t xml:space="preserve"> No</w:t>
      </w:r>
    </w:p>
    <w:sectPr w:rsidR="00A50170" w:rsidRPr="006A68D4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chmidt, Stephen M" w:date="2024-02-25T16:11:00Z" w:initials="SS">
    <w:p w14:paraId="0001E1F4" w14:textId="77777777" w:rsidR="001205BE" w:rsidRDefault="001205BE" w:rsidP="001205BE">
      <w:pPr>
        <w:pStyle w:val="CommentText"/>
      </w:pPr>
      <w:r>
        <w:rPr>
          <w:rStyle w:val="CommentReference"/>
        </w:rPr>
        <w:annotationRef/>
      </w:r>
      <w:r>
        <w:t>I should come back to this and split this document into 4 sections with a Table of Contents like the rest of our documents.</w:t>
      </w:r>
    </w:p>
    <w:p w14:paraId="63460C6E" w14:textId="77777777" w:rsidR="001205BE" w:rsidRDefault="001205BE" w:rsidP="001205BE">
      <w:pPr>
        <w:pStyle w:val="CommentText"/>
        <w:numPr>
          <w:ilvl w:val="0"/>
          <w:numId w:val="50"/>
        </w:numPr>
      </w:pPr>
      <w:r>
        <w:t>Introduction</w:t>
      </w:r>
    </w:p>
    <w:p w14:paraId="1157BA0C" w14:textId="77777777" w:rsidR="001205BE" w:rsidRDefault="001205BE" w:rsidP="001205BE">
      <w:pPr>
        <w:pStyle w:val="CommentText"/>
        <w:numPr>
          <w:ilvl w:val="0"/>
          <w:numId w:val="50"/>
        </w:numPr>
      </w:pPr>
      <w:r>
        <w:t>Potential Project Vulnerabilities(The yes no questions)</w:t>
      </w:r>
    </w:p>
    <w:p w14:paraId="6D8916C7" w14:textId="77777777" w:rsidR="001205BE" w:rsidRDefault="001205BE" w:rsidP="001205BE">
      <w:pPr>
        <w:pStyle w:val="CommentText"/>
        <w:numPr>
          <w:ilvl w:val="0"/>
          <w:numId w:val="50"/>
        </w:numPr>
      </w:pPr>
      <w:r>
        <w:t>Potential Project Threats(The low-high questions)</w:t>
      </w:r>
    </w:p>
    <w:p w14:paraId="492265B8" w14:textId="77777777" w:rsidR="001205BE" w:rsidRDefault="001205BE" w:rsidP="001205BE">
      <w:pPr>
        <w:pStyle w:val="CommentText"/>
        <w:numPr>
          <w:ilvl w:val="0"/>
          <w:numId w:val="50"/>
        </w:numPr>
      </w:pPr>
      <w:r>
        <w:t>CyberSecurity acknowledgement</w:t>
      </w:r>
    </w:p>
  </w:comment>
  <w:comment w:id="2" w:author="Schmidt, Stephen M" w:date="2024-02-25T16:12:00Z" w:initials="SS">
    <w:p w14:paraId="5AEAB81F" w14:textId="77777777" w:rsidR="001127A0" w:rsidRDefault="001127A0" w:rsidP="001127A0">
      <w:pPr>
        <w:pStyle w:val="CommentText"/>
      </w:pPr>
      <w:r>
        <w:rPr>
          <w:rStyle w:val="CommentReference"/>
        </w:rPr>
        <w:annotationRef/>
      </w:r>
      <w:r>
        <w:t>I can do that another day and call it version 1.1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265B8" w15:done="0"/>
  <w15:commentEx w15:paraId="5AEAB81F" w15:paraIdParent="492265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9CBB1C7" w16cex:dateUtc="2024-02-25T22:11:00Z"/>
  <w16cex:commentExtensible w16cex:durableId="32977DC4" w16cex:dateUtc="2024-02-25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265B8" w16cid:durableId="39CBB1C7"/>
  <w16cid:commentId w16cid:paraId="5AEAB81F" w16cid:durableId="32977D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1FBB" w14:textId="77777777" w:rsidR="00BE4D99" w:rsidRDefault="00BE4D99">
      <w:pPr>
        <w:spacing w:line="240" w:lineRule="auto"/>
      </w:pPr>
      <w:r>
        <w:separator/>
      </w:r>
    </w:p>
  </w:endnote>
  <w:endnote w:type="continuationSeparator" w:id="0">
    <w:p w14:paraId="6E382C70" w14:textId="77777777" w:rsidR="00BE4D99" w:rsidRDefault="00BE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D2B9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E8F9AC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471B5F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1E3F8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35FBD" w14:textId="2CFD0930" w:rsidR="00C251DF" w:rsidRDefault="00C251DF">
          <w:pPr>
            <w:jc w:val="center"/>
          </w:pPr>
          <w:r>
            <w:sym w:font="Symbol" w:char="F0D3"/>
          </w:r>
          <w:r w:rsidR="007837E3">
            <w:t>Kung-Fu Programmers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53F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0C8371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020A0AB" w14:textId="77777777" w:rsidR="00C251DF" w:rsidRDefault="00C25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97F7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6C90" w14:textId="77777777" w:rsidR="00BE4D99" w:rsidRDefault="00BE4D99">
      <w:pPr>
        <w:spacing w:line="240" w:lineRule="auto"/>
      </w:pPr>
      <w:r>
        <w:separator/>
      </w:r>
    </w:p>
  </w:footnote>
  <w:footnote w:type="continuationSeparator" w:id="0">
    <w:p w14:paraId="3D8A5A32" w14:textId="77777777" w:rsidR="00BE4D99" w:rsidRDefault="00BE4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19E3" w14:textId="77777777" w:rsidR="00C251DF" w:rsidRDefault="00C251DF">
    <w:pPr>
      <w:rPr>
        <w:sz w:val="24"/>
      </w:rPr>
    </w:pPr>
  </w:p>
  <w:p w14:paraId="419C0536" w14:textId="77777777" w:rsidR="00C251DF" w:rsidRDefault="00C251DF">
    <w:pPr>
      <w:pBdr>
        <w:top w:val="single" w:sz="6" w:space="1" w:color="auto"/>
      </w:pBdr>
      <w:rPr>
        <w:sz w:val="24"/>
      </w:rPr>
    </w:pPr>
  </w:p>
  <w:p w14:paraId="1980CA1A" w14:textId="528562A0" w:rsidR="00C251DF" w:rsidRDefault="007837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Kung-Fu Programmers</w:t>
    </w:r>
  </w:p>
  <w:p w14:paraId="7CD606FB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9D6CC96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27DE77A" w14:textId="77777777">
      <w:tc>
        <w:tcPr>
          <w:tcW w:w="6379" w:type="dxa"/>
        </w:tcPr>
        <w:p w14:paraId="1599C5BF" w14:textId="605F4FB6" w:rsidR="00C251DF" w:rsidRDefault="007837E3">
          <w:r>
            <w:t>Boolean Expression Evaluator</w:t>
          </w:r>
        </w:p>
      </w:tc>
      <w:tc>
        <w:tcPr>
          <w:tcW w:w="3179" w:type="dxa"/>
        </w:tcPr>
        <w:p w14:paraId="4743E390" w14:textId="6A0D6A11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C251DF" w14:paraId="270BE3A7" w14:textId="77777777">
      <w:tc>
        <w:tcPr>
          <w:tcW w:w="6379" w:type="dxa"/>
        </w:tcPr>
        <w:p w14:paraId="0325F6D6" w14:textId="27BAA1F4" w:rsidR="00C251DF" w:rsidRDefault="00396A95">
          <w:fldSimple w:instr=" TITLE  \* MERGEFORMAT ">
            <w:r w:rsidR="00771B3E">
              <w:t>Software Development Plan</w:t>
            </w:r>
          </w:fldSimple>
        </w:p>
      </w:tc>
      <w:tc>
        <w:tcPr>
          <w:tcW w:w="3179" w:type="dxa"/>
        </w:tcPr>
        <w:p w14:paraId="627B161B" w14:textId="5D7BE021" w:rsidR="00C251DF" w:rsidRDefault="00C251DF">
          <w:r>
            <w:t xml:space="preserve">  Date: </w:t>
          </w:r>
          <w:r w:rsidR="007837E3">
            <w:t>2</w:t>
          </w:r>
          <w:r w:rsidR="00C053F1">
            <w:t>5</w:t>
          </w:r>
          <w:r>
            <w:t>/</w:t>
          </w:r>
          <w:r w:rsidR="007837E3">
            <w:t>Feb</w:t>
          </w:r>
          <w:r>
            <w:t>/</w:t>
          </w:r>
          <w:r w:rsidR="007837E3">
            <w:t>24</w:t>
          </w:r>
        </w:p>
      </w:tc>
    </w:tr>
    <w:tr w:rsidR="00C251DF" w14:paraId="5F885081" w14:textId="77777777">
      <w:tc>
        <w:tcPr>
          <w:tcW w:w="9558" w:type="dxa"/>
          <w:gridSpan w:val="2"/>
        </w:tcPr>
        <w:p w14:paraId="0E293FFC" w14:textId="3DE3CE3B" w:rsidR="00C251DF" w:rsidRDefault="00C25619">
          <w:r>
            <w:t>Risk Assessment</w:t>
          </w:r>
        </w:p>
      </w:tc>
    </w:tr>
  </w:tbl>
  <w:p w14:paraId="0B855A48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693B" w14:textId="77777777" w:rsidR="00C251DF" w:rsidRDefault="00C2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8BB"/>
    <w:multiLevelType w:val="hybridMultilevel"/>
    <w:tmpl w:val="EB14F5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AA30D3"/>
    <w:multiLevelType w:val="hybridMultilevel"/>
    <w:tmpl w:val="9FAC261E"/>
    <w:lvl w:ilvl="0" w:tplc="DA7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E4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0E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E2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AB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0B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B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E3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E2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B111C66"/>
    <w:multiLevelType w:val="hybridMultilevel"/>
    <w:tmpl w:val="14185FA2"/>
    <w:lvl w:ilvl="0" w:tplc="9D44D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1EC4078A"/>
    <w:multiLevelType w:val="hybridMultilevel"/>
    <w:tmpl w:val="BEEE21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325040A"/>
    <w:multiLevelType w:val="multilevel"/>
    <w:tmpl w:val="5F8264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CD51E21"/>
    <w:multiLevelType w:val="hybridMultilevel"/>
    <w:tmpl w:val="42D0818E"/>
    <w:lvl w:ilvl="0" w:tplc="99AC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A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09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6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A6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28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4A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0C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F00EBD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2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66C64DC"/>
    <w:multiLevelType w:val="hybridMultilevel"/>
    <w:tmpl w:val="3FEA444E"/>
    <w:lvl w:ilvl="0" w:tplc="E39C6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AE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02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E9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02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C6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8D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A2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C71487D"/>
    <w:multiLevelType w:val="hybridMultilevel"/>
    <w:tmpl w:val="5D74A4B6"/>
    <w:lvl w:ilvl="0" w:tplc="6C0A3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05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C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8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AA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CC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A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64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AAE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3AE7D22"/>
    <w:multiLevelType w:val="hybridMultilevel"/>
    <w:tmpl w:val="BBCE7B5C"/>
    <w:lvl w:ilvl="0" w:tplc="E33C269C">
      <w:start w:val="1"/>
      <w:numFmt w:val="decimal"/>
      <w:lvlText w:val="%1."/>
      <w:lvlJc w:val="left"/>
      <w:pPr>
        <w:ind w:left="1020" w:hanging="360"/>
      </w:pPr>
    </w:lvl>
    <w:lvl w:ilvl="1" w:tplc="AAECC12C">
      <w:start w:val="1"/>
      <w:numFmt w:val="decimal"/>
      <w:lvlText w:val="%2."/>
      <w:lvlJc w:val="left"/>
      <w:pPr>
        <w:ind w:left="1020" w:hanging="360"/>
      </w:pPr>
    </w:lvl>
    <w:lvl w:ilvl="2" w:tplc="5D1A4264">
      <w:start w:val="1"/>
      <w:numFmt w:val="decimal"/>
      <w:lvlText w:val="%3."/>
      <w:lvlJc w:val="left"/>
      <w:pPr>
        <w:ind w:left="1020" w:hanging="360"/>
      </w:pPr>
    </w:lvl>
    <w:lvl w:ilvl="3" w:tplc="7EFAE414">
      <w:start w:val="1"/>
      <w:numFmt w:val="decimal"/>
      <w:lvlText w:val="%4."/>
      <w:lvlJc w:val="left"/>
      <w:pPr>
        <w:ind w:left="1020" w:hanging="360"/>
      </w:pPr>
    </w:lvl>
    <w:lvl w:ilvl="4" w:tplc="8BD638E4">
      <w:start w:val="1"/>
      <w:numFmt w:val="decimal"/>
      <w:lvlText w:val="%5."/>
      <w:lvlJc w:val="left"/>
      <w:pPr>
        <w:ind w:left="1020" w:hanging="360"/>
      </w:pPr>
    </w:lvl>
    <w:lvl w:ilvl="5" w:tplc="132248F0">
      <w:start w:val="1"/>
      <w:numFmt w:val="decimal"/>
      <w:lvlText w:val="%6."/>
      <w:lvlJc w:val="left"/>
      <w:pPr>
        <w:ind w:left="1020" w:hanging="360"/>
      </w:pPr>
    </w:lvl>
    <w:lvl w:ilvl="6" w:tplc="B1EC4BFA">
      <w:start w:val="1"/>
      <w:numFmt w:val="decimal"/>
      <w:lvlText w:val="%7."/>
      <w:lvlJc w:val="left"/>
      <w:pPr>
        <w:ind w:left="1020" w:hanging="360"/>
      </w:pPr>
    </w:lvl>
    <w:lvl w:ilvl="7" w:tplc="4812363E">
      <w:start w:val="1"/>
      <w:numFmt w:val="decimal"/>
      <w:lvlText w:val="%8."/>
      <w:lvlJc w:val="left"/>
      <w:pPr>
        <w:ind w:left="1020" w:hanging="360"/>
      </w:pPr>
    </w:lvl>
    <w:lvl w:ilvl="8" w:tplc="4712D90A">
      <w:start w:val="1"/>
      <w:numFmt w:val="decimal"/>
      <w:lvlText w:val="%9."/>
      <w:lvlJc w:val="left"/>
      <w:pPr>
        <w:ind w:left="1020" w:hanging="360"/>
      </w:pPr>
    </w:lvl>
  </w:abstractNum>
  <w:abstractNum w:abstractNumId="33" w15:restartNumberingAfterBreak="0">
    <w:nsid w:val="53C61F10"/>
    <w:multiLevelType w:val="hybridMultilevel"/>
    <w:tmpl w:val="CF20AD4A"/>
    <w:lvl w:ilvl="0" w:tplc="214848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C3E7D9D"/>
    <w:multiLevelType w:val="hybridMultilevel"/>
    <w:tmpl w:val="9F1EB284"/>
    <w:lvl w:ilvl="0" w:tplc="C6A2B5A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544278A"/>
    <w:multiLevelType w:val="hybridMultilevel"/>
    <w:tmpl w:val="4350CC8A"/>
    <w:lvl w:ilvl="0" w:tplc="516A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C4E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00D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00D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FA3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503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EC4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3E0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41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7493935"/>
    <w:multiLevelType w:val="hybridMultilevel"/>
    <w:tmpl w:val="D3286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4919C7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79754102">
    <w:abstractNumId w:val="0"/>
  </w:num>
  <w:num w:numId="2" w16cid:durableId="939411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47966280">
    <w:abstractNumId w:val="41"/>
  </w:num>
  <w:num w:numId="4" w16cid:durableId="567812477">
    <w:abstractNumId w:val="6"/>
  </w:num>
  <w:num w:numId="5" w16cid:durableId="2090957278">
    <w:abstractNumId w:val="11"/>
  </w:num>
  <w:num w:numId="6" w16cid:durableId="51537569">
    <w:abstractNumId w:val="31"/>
  </w:num>
  <w:num w:numId="7" w16cid:durableId="1865049946">
    <w:abstractNumId w:val="40"/>
  </w:num>
  <w:num w:numId="8" w16cid:durableId="115248188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395788055">
    <w:abstractNumId w:val="37"/>
  </w:num>
  <w:num w:numId="10" w16cid:durableId="236597720">
    <w:abstractNumId w:val="34"/>
  </w:num>
  <w:num w:numId="11" w16cid:durableId="1659993692">
    <w:abstractNumId w:val="4"/>
  </w:num>
  <w:num w:numId="12" w16cid:durableId="1631007931">
    <w:abstractNumId w:val="22"/>
  </w:num>
  <w:num w:numId="13" w16cid:durableId="732436484">
    <w:abstractNumId w:val="46"/>
  </w:num>
  <w:num w:numId="14" w16cid:durableId="112214424">
    <w:abstractNumId w:val="30"/>
  </w:num>
  <w:num w:numId="15" w16cid:durableId="331497601">
    <w:abstractNumId w:val="29"/>
  </w:num>
  <w:num w:numId="16" w16cid:durableId="13919232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974090112">
    <w:abstractNumId w:val="2"/>
  </w:num>
  <w:num w:numId="18" w16cid:durableId="718479416">
    <w:abstractNumId w:val="44"/>
  </w:num>
  <w:num w:numId="19" w16cid:durableId="1034496887">
    <w:abstractNumId w:val="7"/>
  </w:num>
  <w:num w:numId="20" w16cid:durableId="707074683">
    <w:abstractNumId w:val="23"/>
  </w:num>
  <w:num w:numId="21" w16cid:durableId="214200204">
    <w:abstractNumId w:val="21"/>
  </w:num>
  <w:num w:numId="22" w16cid:durableId="664942323">
    <w:abstractNumId w:val="43"/>
  </w:num>
  <w:num w:numId="23" w16cid:durableId="1020425841">
    <w:abstractNumId w:val="20"/>
  </w:num>
  <w:num w:numId="24" w16cid:durableId="308902658">
    <w:abstractNumId w:val="13"/>
  </w:num>
  <w:num w:numId="25" w16cid:durableId="1232735486">
    <w:abstractNumId w:val="42"/>
  </w:num>
  <w:num w:numId="26" w16cid:durableId="700545506">
    <w:abstractNumId w:val="27"/>
  </w:num>
  <w:num w:numId="27" w16cid:durableId="471412821">
    <w:abstractNumId w:val="16"/>
  </w:num>
  <w:num w:numId="28" w16cid:durableId="1485002924">
    <w:abstractNumId w:val="25"/>
  </w:num>
  <w:num w:numId="29" w16cid:durableId="1995450421">
    <w:abstractNumId w:val="19"/>
  </w:num>
  <w:num w:numId="30" w16cid:durableId="921790859">
    <w:abstractNumId w:val="39"/>
  </w:num>
  <w:num w:numId="31" w16cid:durableId="1219979924">
    <w:abstractNumId w:val="12"/>
  </w:num>
  <w:num w:numId="32" w16cid:durableId="1923678393">
    <w:abstractNumId w:val="10"/>
  </w:num>
  <w:num w:numId="33" w16cid:durableId="1509170495">
    <w:abstractNumId w:val="8"/>
  </w:num>
  <w:num w:numId="34" w16cid:durableId="883444713">
    <w:abstractNumId w:val="36"/>
  </w:num>
  <w:num w:numId="35" w16cid:durableId="1618298089">
    <w:abstractNumId w:val="18"/>
  </w:num>
  <w:num w:numId="36" w16cid:durableId="1868056350">
    <w:abstractNumId w:val="26"/>
  </w:num>
  <w:num w:numId="37" w16cid:durableId="234171024">
    <w:abstractNumId w:val="5"/>
  </w:num>
  <w:num w:numId="38" w16cid:durableId="41753976">
    <w:abstractNumId w:val="28"/>
  </w:num>
  <w:num w:numId="39" w16cid:durableId="1022630011">
    <w:abstractNumId w:val="15"/>
  </w:num>
  <w:num w:numId="40" w16cid:durableId="1318151793">
    <w:abstractNumId w:val="3"/>
  </w:num>
  <w:num w:numId="41" w16cid:durableId="1177579113">
    <w:abstractNumId w:val="38"/>
  </w:num>
  <w:num w:numId="42" w16cid:durableId="344016416">
    <w:abstractNumId w:val="47"/>
  </w:num>
  <w:num w:numId="43" w16cid:durableId="157766973">
    <w:abstractNumId w:val="24"/>
  </w:num>
  <w:num w:numId="44" w16cid:durableId="1179733301">
    <w:abstractNumId w:val="45"/>
  </w:num>
  <w:num w:numId="45" w16cid:durableId="688067927">
    <w:abstractNumId w:val="9"/>
  </w:num>
  <w:num w:numId="46" w16cid:durableId="1333414133">
    <w:abstractNumId w:val="17"/>
  </w:num>
  <w:num w:numId="47" w16cid:durableId="1620991682">
    <w:abstractNumId w:val="33"/>
  </w:num>
  <w:num w:numId="48" w16cid:durableId="280190490">
    <w:abstractNumId w:val="14"/>
  </w:num>
  <w:num w:numId="49" w16cid:durableId="1917282486">
    <w:abstractNumId w:val="35"/>
  </w:num>
  <w:num w:numId="50" w16cid:durableId="1755010178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midt, Stephen M">
    <w15:presenceInfo w15:providerId="AD" w15:userId="S::s803s199@home.ku.edu::0ee55872-2df6-4f5e-9665-a868ce8ba5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NTAyNTcAss2NzZR0lIJTi4sz8/NACgxrAdzwmuEsAAAA"/>
  </w:docVars>
  <w:rsids>
    <w:rsidRoot w:val="00771B3E"/>
    <w:rsid w:val="000C483E"/>
    <w:rsid w:val="000D201C"/>
    <w:rsid w:val="000D4BF4"/>
    <w:rsid w:val="00103109"/>
    <w:rsid w:val="001127A0"/>
    <w:rsid w:val="00117DC9"/>
    <w:rsid w:val="001205BE"/>
    <w:rsid w:val="00177EE4"/>
    <w:rsid w:val="001A566B"/>
    <w:rsid w:val="002A5843"/>
    <w:rsid w:val="002E00B0"/>
    <w:rsid w:val="002E4E45"/>
    <w:rsid w:val="003475E7"/>
    <w:rsid w:val="00396A95"/>
    <w:rsid w:val="003B6BA6"/>
    <w:rsid w:val="003C4C25"/>
    <w:rsid w:val="0041510F"/>
    <w:rsid w:val="00443638"/>
    <w:rsid w:val="00464B2D"/>
    <w:rsid w:val="004E7DB4"/>
    <w:rsid w:val="00690828"/>
    <w:rsid w:val="006A68D4"/>
    <w:rsid w:val="006B213F"/>
    <w:rsid w:val="006E07E2"/>
    <w:rsid w:val="00706C70"/>
    <w:rsid w:val="00731BE9"/>
    <w:rsid w:val="0073567A"/>
    <w:rsid w:val="00743A71"/>
    <w:rsid w:val="00771B3E"/>
    <w:rsid w:val="007837E3"/>
    <w:rsid w:val="007937A0"/>
    <w:rsid w:val="007C3D01"/>
    <w:rsid w:val="00821282"/>
    <w:rsid w:val="00842083"/>
    <w:rsid w:val="00887FB6"/>
    <w:rsid w:val="008C57E1"/>
    <w:rsid w:val="008E40BF"/>
    <w:rsid w:val="008E6895"/>
    <w:rsid w:val="008F0287"/>
    <w:rsid w:val="009178AF"/>
    <w:rsid w:val="0094790D"/>
    <w:rsid w:val="009E197B"/>
    <w:rsid w:val="009F462F"/>
    <w:rsid w:val="00A35ECB"/>
    <w:rsid w:val="00A50170"/>
    <w:rsid w:val="00AD5525"/>
    <w:rsid w:val="00AE0453"/>
    <w:rsid w:val="00AE6305"/>
    <w:rsid w:val="00B90F60"/>
    <w:rsid w:val="00BA29FC"/>
    <w:rsid w:val="00BE4D99"/>
    <w:rsid w:val="00BE7F34"/>
    <w:rsid w:val="00C053F1"/>
    <w:rsid w:val="00C13AF5"/>
    <w:rsid w:val="00C251DF"/>
    <w:rsid w:val="00C25619"/>
    <w:rsid w:val="00C26778"/>
    <w:rsid w:val="00CB357F"/>
    <w:rsid w:val="00CB3A4D"/>
    <w:rsid w:val="00D30882"/>
    <w:rsid w:val="00D42366"/>
    <w:rsid w:val="00D62F3F"/>
    <w:rsid w:val="00D657D3"/>
    <w:rsid w:val="00DB0EF8"/>
    <w:rsid w:val="00DC2712"/>
    <w:rsid w:val="00DC6DFB"/>
    <w:rsid w:val="00E1350F"/>
    <w:rsid w:val="00E14D7F"/>
    <w:rsid w:val="00E918C5"/>
    <w:rsid w:val="00F257A7"/>
    <w:rsid w:val="00F272F9"/>
    <w:rsid w:val="00F449DD"/>
    <w:rsid w:val="00F471AA"/>
    <w:rsid w:val="00F51886"/>
    <w:rsid w:val="00FC3230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5C7BE"/>
  <w15:chartTrackingRefBased/>
  <w15:docId w15:val="{BEAF01F9-EE54-4C63-8C6F-7E5F5DA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itleChar">
    <w:name w:val="Title Char"/>
    <w:link w:val="Title"/>
    <w:rsid w:val="00842083"/>
    <w:rPr>
      <w:rFonts w:ascii="Arial" w:hAnsi="Arial"/>
      <w:b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20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05BE"/>
  </w:style>
  <w:style w:type="character" w:customStyle="1" w:styleId="CommentTextChar">
    <w:name w:val="Comment Text Char"/>
    <w:basedOn w:val="DefaultParagraphFont"/>
    <w:link w:val="CommentText"/>
    <w:uiPriority w:val="99"/>
    <w:rsid w:val="001205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d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76657-F6CF-4289-BAA9-2BB709BC4972}"/>
</file>

<file path=customXml/itemProps2.xml><?xml version="1.0" encoding="utf-8"?>
<ds:datastoreItem xmlns:ds="http://schemas.openxmlformats.org/officeDocument/2006/customXml" ds:itemID="{7DA8AD67-1D13-4288-8D2E-D6A5D72335D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ff51b768-b286-48f3-864e-18f827f5bd10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AF81146-9B90-4FD2-8CCA-96B1F7A46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upedu_sdp.dot</Template>
  <TotalTime>232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4422</CharactersWithSpaces>
  <SharedDoc>false</SharedDoc>
  <HLinks>
    <vt:vector size="156" baseType="variant">
      <vt:variant>
        <vt:i4>8192068</vt:i4>
      </vt:variant>
      <vt:variant>
        <vt:i4>162</vt:i4>
      </vt:variant>
      <vt:variant>
        <vt:i4>0</vt:i4>
      </vt:variant>
      <vt:variant>
        <vt:i4>5</vt:i4>
      </vt:variant>
      <vt:variant>
        <vt:lpwstr>C:\Inetpub\wwwroot\UPEDU\process\artifact\process\workers\wk_any.htm</vt:lpwstr>
      </vt:variant>
      <vt:variant>
        <vt:lpwstr/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_Toc11132118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_Toc11132117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_Toc11132116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_Toc11132115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_Toc11132114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_Toc11132113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_Toc11132112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_Toc11132111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_Toc11132110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_Toc11132109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_Toc11132108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_Toc11132107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_Toc11132106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_Toc11132105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_Toc11132104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_Toc11132103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_Toc11132102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_Toc11132101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_Toc11132100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_Toc11132099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_Toc11132098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_Toc11132097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_Toc11132096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_Toc11132095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_Toc11132094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hossai</dc:creator>
  <cp:keywords/>
  <dc:description/>
  <cp:lastModifiedBy>Schmidt, Stephen M</cp:lastModifiedBy>
  <cp:revision>43</cp:revision>
  <cp:lastPrinted>1900-01-01T06:00:00Z</cp:lastPrinted>
  <dcterms:created xsi:type="dcterms:W3CDTF">2024-02-23T02:29:00Z</dcterms:created>
  <dcterms:modified xsi:type="dcterms:W3CDTF">2024-02-25T22:12:00Z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