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VirtualMart</w:t>
      </w:r>
    </w:p>
    <w:p>
      <w:pPr>
        <w:jc w:val="center"/>
      </w:pPr>
      <w:r>
        <w:rPr>
          <w:sz w:val="34"/>
        </w:rPr>
        <w:t>Database Modeling and Architecture Design</w:t>
      </w:r>
    </w:p>
    <w:p>
      <w:pPr>
        <w:jc w:val="center"/>
      </w:pPr>
      <w:r>
        <w:br/>
        <w:t>Week 1 Project Report</w:t>
        <w:br/>
        <w:t>Technology: PostgreSQL 18</w:t>
        <w:br/>
        <w:t>Environment: Local development database</w:t>
        <w:br/>
        <w:t>Dataset: Fictional synthetic demonstration data</w:t>
      </w:r>
    </w:p>
    <w:p>
      <w:r>
        <w:br w:type="page"/>
      </w:r>
    </w:p>
    <w:p>
      <w:pPr>
        <w:pStyle w:val="Heading1"/>
      </w:pPr>
      <w:r>
        <w:t>1. Executive Summary</w:t>
      </w:r>
    </w:p>
    <w:p>
      <w:r>
        <w:t>VirtualMart is a sample e-commerce database project designed to demonstrate relational data modeling, database architecture, integrity constraints, indexing, and analytical SQL. The database uses PostgreSQL and organizes customers, products, suppliers, inventory, orders, payments, shipments, returns, and inventory activity into related tables.</w:t>
      </w:r>
    </w:p>
    <w:p>
      <w:r>
        <w:t>All sample records are fictional and intended only for demonstration. The project is configured for local development and does not require personal datasets, external accounts, or private API credentials.</w:t>
      </w:r>
    </w:p>
    <w:p>
      <w:pPr>
        <w:pStyle w:val="Heading1"/>
      </w:pPr>
      <w:r>
        <w:t>2. Project Objectives</w:t>
      </w:r>
    </w:p>
    <w:p>
      <w:pPr>
        <w:pStyle w:val="ListBullet"/>
      </w:pPr>
      <w:r>
        <w:t>Design a relational schema for a fictional online marketplace.</w:t>
      </w:r>
    </w:p>
    <w:p>
      <w:pPr>
        <w:pStyle w:val="ListBullet"/>
      </w:pPr>
      <w:r>
        <w:t>Represent business entities and their relationships using primary and foreign keys.</w:t>
      </w:r>
    </w:p>
    <w:p>
      <w:pPr>
        <w:pStyle w:val="ListBullet"/>
      </w:pPr>
      <w:r>
        <w:t>Apply data types, CHECK constraints, and uniqueness rules to improve data quality.</w:t>
      </w:r>
    </w:p>
    <w:p>
      <w:pPr>
        <w:pStyle w:val="ListBullet"/>
      </w:pPr>
      <w:r>
        <w:t>Create indexes for common lookup and join operations.</w:t>
      </w:r>
    </w:p>
    <w:p>
      <w:pPr>
        <w:pStyle w:val="ListBullet"/>
      </w:pPr>
      <w:r>
        <w:t>Load synthetic records and test analytical SQL queries.</w:t>
      </w:r>
    </w:p>
    <w:p>
      <w:pPr>
        <w:pStyle w:val="ListBullet"/>
      </w:pPr>
      <w:r>
        <w:t>Document the schema using an entity-relationship diagram (ERD).</w:t>
      </w:r>
    </w:p>
    <w:p>
      <w:pPr>
        <w:pStyle w:val="Heading1"/>
      </w:pPr>
      <w:r>
        <w:t>3. Technology Stack and Environment</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Component</w:t>
            </w:r>
          </w:p>
        </w:tc>
        <w:tc>
          <w:tcPr>
            <w:tcW w:type="dxa" w:w="4968"/>
            <w:vAlign w:val="center"/>
          </w:tcPr>
          <w:p>
            <w:r>
              <w:rPr>
                <w:b/>
              </w:rPr>
              <w:t>Purpose</w:t>
            </w:r>
          </w:p>
        </w:tc>
      </w:tr>
      <w:tr>
        <w:tc>
          <w:tcPr>
            <w:tcW w:type="dxa" w:w="4968"/>
            <w:vAlign w:val="center"/>
          </w:tcPr>
          <w:p>
            <w:r>
              <w:t>PostgreSQL 18</w:t>
            </w:r>
          </w:p>
        </w:tc>
        <w:tc>
          <w:tcPr>
            <w:tcW w:type="dxa" w:w="4968"/>
            <w:vAlign w:val="center"/>
          </w:tcPr>
          <w:p>
            <w:r>
              <w:t>Relational database engine</w:t>
            </w:r>
          </w:p>
        </w:tc>
      </w:tr>
      <w:tr>
        <w:tc>
          <w:tcPr>
            <w:tcW w:type="dxa" w:w="4968"/>
            <w:vAlign w:val="center"/>
          </w:tcPr>
          <w:p>
            <w:r>
              <w:t>pgAdmin 4</w:t>
            </w:r>
          </w:p>
        </w:tc>
        <w:tc>
          <w:tcPr>
            <w:tcW w:type="dxa" w:w="4968"/>
            <w:vAlign w:val="center"/>
          </w:tcPr>
          <w:p>
            <w:r>
              <w:t>Database administration and SQL query execution</w:t>
            </w:r>
          </w:p>
        </w:tc>
      </w:tr>
      <w:tr>
        <w:tc>
          <w:tcPr>
            <w:tcW w:type="dxa" w:w="4968"/>
            <w:vAlign w:val="center"/>
          </w:tcPr>
          <w:p>
            <w:r>
              <w:t>Visual Studio Code</w:t>
            </w:r>
          </w:p>
        </w:tc>
        <w:tc>
          <w:tcPr>
            <w:tcW w:type="dxa" w:w="4968"/>
            <w:vAlign w:val="center"/>
          </w:tcPr>
          <w:p>
            <w:r>
              <w:t>SQL scripts and project documentation</w:t>
            </w:r>
          </w:p>
        </w:tc>
      </w:tr>
      <w:tr>
        <w:tc>
          <w:tcPr>
            <w:tcW w:type="dxa" w:w="4968"/>
            <w:vAlign w:val="center"/>
          </w:tcPr>
          <w:p>
            <w:r>
              <w:t>diagrams.net</w:t>
            </w:r>
          </w:p>
        </w:tc>
        <w:tc>
          <w:tcPr>
            <w:tcW w:type="dxa" w:w="4968"/>
            <w:vAlign w:val="center"/>
          </w:tcPr>
          <w:p>
            <w:r>
              <w:t>ERD diagram creation</w:t>
            </w:r>
          </w:p>
        </w:tc>
      </w:tr>
      <w:tr>
        <w:tc>
          <w:tcPr>
            <w:tcW w:type="dxa" w:w="4968"/>
            <w:vAlign w:val="center"/>
          </w:tcPr>
          <w:p>
            <w:r>
              <w:t>Python and python-docx</w:t>
            </w:r>
          </w:p>
        </w:tc>
        <w:tc>
          <w:tcPr>
            <w:tcW w:type="dxa" w:w="4968"/>
            <w:vAlign w:val="center"/>
          </w:tcPr>
          <w:p>
            <w:r>
              <w:t>Local generation of the Word report</w:t>
            </w:r>
          </w:p>
        </w:tc>
      </w:tr>
    </w:tbl>
    <w:p/>
    <w:p>
      <w:r>
        <w:t>The database is named virtualmart_db, and the project schema is virtualmart. SQL scripts are maintained in the sql directory. The project also contains diagrams, docs, and scripts directories.</w:t>
      </w:r>
    </w:p>
    <w:p>
      <w:pPr>
        <w:pStyle w:val="Heading1"/>
      </w:pPr>
      <w:r>
        <w:t>4. Database Architecture</w:t>
      </w:r>
    </w:p>
    <w:p>
      <w:r>
        <w:t>The database follows a relational design. Entity tables hold core business records, while relationship tables represent many-to-many associations or transaction details. Foreign keys connect related records and help prevent orphaned references.</w:t>
      </w:r>
    </w:p>
    <w:p>
      <w:pPr>
        <w:pStyle w:val="ListBullet"/>
      </w:pPr>
      <w:r>
        <w:t>Schema: virtualmart</w:t>
      </w:r>
    </w:p>
    <w:p>
      <w:pPr>
        <w:pStyle w:val="ListBullet"/>
      </w:pPr>
      <w:r>
        <w:t>Database: virtualmart_db</w:t>
      </w:r>
    </w:p>
    <w:p>
      <w:pPr>
        <w:pStyle w:val="ListBullet"/>
      </w:pPr>
      <w:r>
        <w:t>Database engine: PostgreSQL 18</w:t>
      </w:r>
    </w:p>
    <w:p>
      <w:pPr>
        <w:pStyle w:val="ListBullet"/>
      </w:pPr>
      <w:r>
        <w:t>Sample records are synthetic and stored locally.</w:t>
      </w:r>
    </w:p>
    <w:p>
      <w:pPr>
        <w:pStyle w:val="Heading2"/>
      </w:pPr>
      <w:r>
        <w:t>4.1 Entity-Relationship Diagram</w:t>
      </w:r>
    </w:p>
    <w:p>
      <w:r>
        <w:t>The following diagram provides a visual overview of the 16-table model.</w:t>
      </w:r>
    </w:p>
    <w:p>
      <w:r>
        <w:drawing>
          <wp:inline xmlns:a="http://schemas.openxmlformats.org/drawingml/2006/main" xmlns:pic="http://schemas.openxmlformats.org/drawingml/2006/picture">
            <wp:extent cx="5852160" cy="5145533"/>
            <wp:docPr id="1" name="Picture 1"/>
            <wp:cNvGraphicFramePr>
              <a:graphicFrameLocks noChangeAspect="1"/>
            </wp:cNvGraphicFramePr>
            <a:graphic>
              <a:graphicData uri="http://schemas.openxmlformats.org/drawingml/2006/picture">
                <pic:pic>
                  <pic:nvPicPr>
                    <pic:cNvPr id="0" name="VirtualMart_ERD.png"/>
                    <pic:cNvPicPr/>
                  </pic:nvPicPr>
                  <pic:blipFill>
                    <a:blip r:embed="rId9"/>
                    <a:stretch>
                      <a:fillRect/>
                    </a:stretch>
                  </pic:blipFill>
                  <pic:spPr>
                    <a:xfrm>
                      <a:off x="0" y="0"/>
                      <a:ext cx="5852160" cy="5145533"/>
                    </a:xfrm>
                    <a:prstGeom prst="rect"/>
                  </pic:spPr>
                </pic:pic>
              </a:graphicData>
            </a:graphic>
          </wp:inline>
        </w:drawing>
      </w:r>
    </w:p>
    <w:p>
      <w:r>
        <w:t>The diagram is an overview of the model. The SQL schema definitions remain the authoritative reference for exact column definitions and constraints.</w:t>
      </w:r>
    </w:p>
    <w:p>
      <w:pPr>
        <w:pStyle w:val="Heading1"/>
      </w:pPr>
      <w:r>
        <w:t>5. Database Tables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Table</w:t>
            </w:r>
          </w:p>
        </w:tc>
        <w:tc>
          <w:tcPr>
            <w:tcW w:type="dxa" w:w="4968"/>
            <w:vAlign w:val="center"/>
          </w:tcPr>
          <w:p>
            <w:r>
              <w:rPr>
                <w:b/>
              </w:rPr>
              <w:t>Purpose</w:t>
            </w:r>
          </w:p>
        </w:tc>
      </w:tr>
      <w:tr>
        <w:tc>
          <w:tcPr>
            <w:tcW w:type="dxa" w:w="4968"/>
            <w:vAlign w:val="center"/>
          </w:tcPr>
          <w:p>
            <w:r>
              <w:t>customers</w:t>
            </w:r>
          </w:p>
        </w:tc>
        <w:tc>
          <w:tcPr>
            <w:tcW w:type="dxa" w:w="4968"/>
            <w:vAlign w:val="center"/>
          </w:tcPr>
          <w:p>
            <w:r>
              <w:t>Customer contact and profile records.</w:t>
            </w:r>
          </w:p>
        </w:tc>
      </w:tr>
      <w:tr>
        <w:tc>
          <w:tcPr>
            <w:tcW w:type="dxa" w:w="4968"/>
            <w:vAlign w:val="center"/>
          </w:tcPr>
          <w:p>
            <w:r>
              <w:t>customer_addresses</w:t>
            </w:r>
          </w:p>
        </w:tc>
        <w:tc>
          <w:tcPr>
            <w:tcW w:type="dxa" w:w="4968"/>
            <w:vAlign w:val="center"/>
          </w:tcPr>
          <w:p>
            <w:r>
              <w:t>Customer delivery or billing addresses.</w:t>
            </w:r>
          </w:p>
        </w:tc>
      </w:tr>
      <w:tr>
        <w:tc>
          <w:tcPr>
            <w:tcW w:type="dxa" w:w="4968"/>
            <w:vAlign w:val="center"/>
          </w:tcPr>
          <w:p>
            <w:r>
              <w:t>categories</w:t>
            </w:r>
          </w:p>
        </w:tc>
        <w:tc>
          <w:tcPr>
            <w:tcW w:type="dxa" w:w="4968"/>
            <w:vAlign w:val="center"/>
          </w:tcPr>
          <w:p>
            <w:r>
              <w:t>Product category definitions.</w:t>
            </w:r>
          </w:p>
        </w:tc>
      </w:tr>
      <w:tr>
        <w:tc>
          <w:tcPr>
            <w:tcW w:type="dxa" w:w="4968"/>
            <w:vAlign w:val="center"/>
          </w:tcPr>
          <w:p>
            <w:r>
              <w:t>suppliers</w:t>
            </w:r>
          </w:p>
        </w:tc>
        <w:tc>
          <w:tcPr>
            <w:tcW w:type="dxa" w:w="4968"/>
            <w:vAlign w:val="center"/>
          </w:tcPr>
          <w:p>
            <w:r>
              <w:t>Supplier records.</w:t>
            </w:r>
          </w:p>
        </w:tc>
      </w:tr>
      <w:tr>
        <w:tc>
          <w:tcPr>
            <w:tcW w:type="dxa" w:w="4968"/>
            <w:vAlign w:val="center"/>
          </w:tcPr>
          <w:p>
            <w:r>
              <w:t>products</w:t>
            </w:r>
          </w:p>
        </w:tc>
        <w:tc>
          <w:tcPr>
            <w:tcW w:type="dxa" w:w="4968"/>
            <w:vAlign w:val="center"/>
          </w:tcPr>
          <w:p>
            <w:r>
              <w:t>Product catalogue, pricing, and product attributes.</w:t>
            </w:r>
          </w:p>
        </w:tc>
      </w:tr>
      <w:tr>
        <w:tc>
          <w:tcPr>
            <w:tcW w:type="dxa" w:w="4968"/>
            <w:vAlign w:val="center"/>
          </w:tcPr>
          <w:p>
            <w:r>
              <w:t>supplier_products</w:t>
            </w:r>
          </w:p>
        </w:tc>
        <w:tc>
          <w:tcPr>
            <w:tcW w:type="dxa" w:w="4968"/>
            <w:vAlign w:val="center"/>
          </w:tcPr>
          <w:p>
            <w:r>
              <w:t>Associations between suppliers and products.</w:t>
            </w:r>
          </w:p>
        </w:tc>
      </w:tr>
      <w:tr>
        <w:tc>
          <w:tcPr>
            <w:tcW w:type="dxa" w:w="4968"/>
            <w:vAlign w:val="center"/>
          </w:tcPr>
          <w:p>
            <w:r>
              <w:t>warehouses</w:t>
            </w:r>
          </w:p>
        </w:tc>
        <w:tc>
          <w:tcPr>
            <w:tcW w:type="dxa" w:w="4968"/>
            <w:vAlign w:val="center"/>
          </w:tcPr>
          <w:p>
            <w:r>
              <w:t>Warehouse or stock-location records.</w:t>
            </w:r>
          </w:p>
        </w:tc>
      </w:tr>
      <w:tr>
        <w:tc>
          <w:tcPr>
            <w:tcW w:type="dxa" w:w="4968"/>
            <w:vAlign w:val="center"/>
          </w:tcPr>
          <w:p>
            <w:r>
              <w:t>inventory</w:t>
            </w:r>
          </w:p>
        </w:tc>
        <w:tc>
          <w:tcPr>
            <w:tcW w:type="dxa" w:w="4968"/>
            <w:vAlign w:val="center"/>
          </w:tcPr>
          <w:p>
            <w:r>
              <w:t>Product stock by warehouse, including reserved quantities.</w:t>
            </w:r>
          </w:p>
        </w:tc>
      </w:tr>
      <w:tr>
        <w:tc>
          <w:tcPr>
            <w:tcW w:type="dxa" w:w="4968"/>
            <w:vAlign w:val="center"/>
          </w:tcPr>
          <w:p>
            <w:r>
              <w:t>sales_orders</w:t>
            </w:r>
          </w:p>
        </w:tc>
        <w:tc>
          <w:tcPr>
            <w:tcW w:type="dxa" w:w="4968"/>
            <w:vAlign w:val="center"/>
          </w:tcPr>
          <w:p>
            <w:r>
              <w:t>Order headers, status, addresses, and monetary totals.</w:t>
            </w:r>
          </w:p>
        </w:tc>
      </w:tr>
      <w:tr>
        <w:tc>
          <w:tcPr>
            <w:tcW w:type="dxa" w:w="4968"/>
            <w:vAlign w:val="center"/>
          </w:tcPr>
          <w:p>
            <w:r>
              <w:t>order_items</w:t>
            </w:r>
          </w:p>
        </w:tc>
        <w:tc>
          <w:tcPr>
            <w:tcW w:type="dxa" w:w="4968"/>
            <w:vAlign w:val="center"/>
          </w:tcPr>
          <w:p>
            <w:r>
              <w:t>Products and quantities contained in each order.</w:t>
            </w:r>
          </w:p>
        </w:tc>
      </w:tr>
      <w:tr>
        <w:tc>
          <w:tcPr>
            <w:tcW w:type="dxa" w:w="4968"/>
            <w:vAlign w:val="center"/>
          </w:tcPr>
          <w:p>
            <w:r>
              <w:t>payments</w:t>
            </w:r>
          </w:p>
        </w:tc>
        <w:tc>
          <w:tcPr>
            <w:tcW w:type="dxa" w:w="4968"/>
            <w:vAlign w:val="center"/>
          </w:tcPr>
          <w:p>
            <w:r>
              <w:t>Payment references, methods, statuses, and amounts.</w:t>
            </w:r>
          </w:p>
        </w:tc>
      </w:tr>
      <w:tr>
        <w:tc>
          <w:tcPr>
            <w:tcW w:type="dxa" w:w="4968"/>
            <w:vAlign w:val="center"/>
          </w:tcPr>
          <w:p>
            <w:r>
              <w:t>shipments</w:t>
            </w:r>
          </w:p>
        </w:tc>
        <w:tc>
          <w:tcPr>
            <w:tcW w:type="dxa" w:w="4968"/>
            <w:vAlign w:val="center"/>
          </w:tcPr>
          <w:p>
            <w:r>
              <w:t>Shipment and tracking information for orders.</w:t>
            </w:r>
          </w:p>
        </w:tc>
      </w:tr>
      <w:tr>
        <w:tc>
          <w:tcPr>
            <w:tcW w:type="dxa" w:w="4968"/>
            <w:vAlign w:val="center"/>
          </w:tcPr>
          <w:p>
            <w:r>
              <w:t>returns</w:t>
            </w:r>
          </w:p>
        </w:tc>
        <w:tc>
          <w:tcPr>
            <w:tcW w:type="dxa" w:w="4968"/>
            <w:vAlign w:val="center"/>
          </w:tcPr>
          <w:p>
            <w:r>
              <w:t>Return request or return header records.</w:t>
            </w:r>
          </w:p>
        </w:tc>
      </w:tr>
      <w:tr>
        <w:tc>
          <w:tcPr>
            <w:tcW w:type="dxa" w:w="4968"/>
            <w:vAlign w:val="center"/>
          </w:tcPr>
          <w:p>
            <w:r>
              <w:t>return_items</w:t>
            </w:r>
          </w:p>
        </w:tc>
        <w:tc>
          <w:tcPr>
            <w:tcW w:type="dxa" w:w="4968"/>
            <w:vAlign w:val="center"/>
          </w:tcPr>
          <w:p>
            <w:r>
              <w:t>Products and quantities associated with returns.</w:t>
            </w:r>
          </w:p>
        </w:tc>
      </w:tr>
      <w:tr>
        <w:tc>
          <w:tcPr>
            <w:tcW w:type="dxa" w:w="4968"/>
            <w:vAlign w:val="center"/>
          </w:tcPr>
          <w:p>
            <w:r>
              <w:t>inventory_movements</w:t>
            </w:r>
          </w:p>
        </w:tc>
        <w:tc>
          <w:tcPr>
            <w:tcW w:type="dxa" w:w="4968"/>
            <w:vAlign w:val="center"/>
          </w:tcPr>
          <w:p>
            <w:r>
              <w:t>Recorded inventory changes and movement history.</w:t>
            </w:r>
          </w:p>
        </w:tc>
      </w:tr>
      <w:tr>
        <w:tc>
          <w:tcPr>
            <w:tcW w:type="dxa" w:w="4968"/>
            <w:vAlign w:val="center"/>
          </w:tcPr>
          <w:p>
            <w:r>
              <w:t>audit_log</w:t>
            </w:r>
          </w:p>
        </w:tc>
        <w:tc>
          <w:tcPr>
            <w:tcW w:type="dxa" w:w="4968"/>
            <w:vAlign w:val="center"/>
          </w:tcPr>
          <w:p>
            <w:r>
              <w:t>A foundation for application-recorded audit events.</w:t>
            </w:r>
          </w:p>
        </w:tc>
      </w:tr>
    </w:tbl>
    <w:p/>
    <w:p>
      <w:pPr>
        <w:pStyle w:val="Heading1"/>
      </w:pPr>
      <w:r>
        <w:t>6. Data Modeling and Integrity</w:t>
      </w:r>
    </w:p>
    <w:p>
      <w:pPr>
        <w:pStyle w:val="ListBullet"/>
      </w:pPr>
      <w:r>
        <w:t>Primary keys uniquely identify records in each table.</w:t>
      </w:r>
    </w:p>
    <w:p>
      <w:pPr>
        <w:pStyle w:val="ListBullet"/>
      </w:pPr>
      <w:r>
        <w:t>Foreign keys represent relationships between customers, addresses, products, orders, and related records.</w:t>
      </w:r>
    </w:p>
    <w:p>
      <w:pPr>
        <w:pStyle w:val="ListBullet"/>
      </w:pPr>
      <w:r>
        <w:t>Identity columns provide generated numeric identifiers where configured.</w:t>
      </w:r>
    </w:p>
    <w:p>
      <w:pPr>
        <w:pStyle w:val="ListBullet"/>
      </w:pPr>
      <w:r>
        <w:t>CHECK constraints validate selected values and business rules.</w:t>
      </w:r>
    </w:p>
    <w:p>
      <w:pPr>
        <w:pStyle w:val="ListBullet"/>
      </w:pPr>
      <w:r>
        <w:t>UNIQUE constraints protect selected identifiers from duplication.</w:t>
      </w:r>
    </w:p>
    <w:p>
      <w:pPr>
        <w:pStyle w:val="ListBullet"/>
      </w:pPr>
      <w:r>
        <w:t>NUMERIC columns are used for monetary amounts to avoid floating-point rounding behavior.</w:t>
      </w:r>
    </w:p>
    <w:p>
      <w:pPr>
        <w:pStyle w:val="ListBullet"/>
      </w:pPr>
      <w:r>
        <w:t>Timestamp columns record relevant dates and times.</w:t>
      </w:r>
    </w:p>
    <w:p>
      <w:pPr>
        <w:pStyle w:val="ListBullet"/>
      </w:pPr>
      <w:r>
        <w:t>The inventory table uses a composite key for its product and warehouse relationship.</w:t>
      </w:r>
    </w:p>
    <w:p>
      <w:r>
        <w:t>The schema is structured to reduce unnecessary duplication and separate entities from transaction details. Formal normalization and constraint coverage should be assessed against the SQL definitions before production use.</w:t>
      </w:r>
    </w:p>
    <w:p>
      <w:pPr>
        <w:pStyle w:val="Heading1"/>
      </w:pPr>
      <w:r>
        <w:t>7. Indexing Strategy</w:t>
      </w:r>
    </w:p>
    <w:p>
      <w:r>
        <w:t>The project includes 11 explicitly created indexes for commonly used lookup and join paths. PostgreSQL also creates indexes automatically for primary-key and unique constraints where required. The reported index count in pgAdmin can therefore be higher than the number of indexes explicitly defined in the indexing script.</w:t>
      </w:r>
    </w:p>
    <w:p>
      <w:r>
        <w:t>Indexes can improve query performance, but they also consume storage and add overhead to writes. Production index choices should be validated with representative workloads and EXPLAIN ANALYZE.</w:t>
      </w:r>
    </w:p>
    <w:p>
      <w:pPr>
        <w:pStyle w:val="Heading1"/>
      </w:pPr>
      <w:r>
        <w:t>8. Synthetic Sample Dataset</w:t>
      </w:r>
    </w:p>
    <w:p>
      <w:r>
        <w:t>The initial demonstration dataset contains 53 rows across the 16 tables. This includes 5 customers, 3 categories, 3 suppliers, 4 products, 2 warehouses, 3 sales orders, 3 order items, 3 payments, 2 shipments, 8 inventory records, and 8 inventory movements. Returns and audit_log currently contain no sample rows.</w:t>
      </w:r>
    </w:p>
    <w:p>
      <w:r>
        <w:t>The sample data is intentionally small to make query results easy to inspect. It is not intended to represent production-scale volume.</w:t>
      </w:r>
    </w:p>
    <w:p>
      <w:pPr>
        <w:pStyle w:val="Heading1"/>
      </w:pPr>
      <w:r>
        <w:t>9. Analytical SQL and Test Results</w:t>
      </w:r>
    </w:p>
    <w:p>
      <w:r>
        <w:t>Eight analytical queries were executed and reviewed in pgAdmin. They cover:</w:t>
      </w:r>
    </w:p>
    <w:p>
      <w:pPr>
        <w:pStyle w:val="ListBullet"/>
      </w:pPr>
      <w:r>
        <w:t>Order counts and monetary totals grouped by order status.</w:t>
      </w:r>
    </w:p>
    <w:p>
      <w:pPr>
        <w:pStyle w:val="ListBullet"/>
      </w:pPr>
      <w:r>
        <w:t>Top-selling products by quantity and line-item revenue.</w:t>
      </w:r>
    </w:p>
    <w:p>
      <w:pPr>
        <w:pStyle w:val="ListBullet"/>
      </w:pPr>
      <w:r>
        <w:t>Customer order history, including customers with no orders.</w:t>
      </w:r>
    </w:p>
    <w:p>
      <w:pPr>
        <w:pStyle w:val="ListBullet"/>
      </w:pPr>
      <w:r>
        <w:t>Inventory reorder alerts based on available stock.</w:t>
      </w:r>
    </w:p>
    <w:p>
      <w:pPr>
        <w:pStyle w:val="ListBullet"/>
      </w:pPr>
      <w:r>
        <w:t>Payment monitoring by status and payment method.</w:t>
      </w:r>
    </w:p>
    <w:p>
      <w:pPr>
        <w:pStyle w:val="ListBullet"/>
      </w:pPr>
      <w:r>
        <w:t>Order shipment and tracking status.</w:t>
      </w:r>
    </w:p>
    <w:p>
      <w:pPr>
        <w:pStyle w:val="ListBullet"/>
      </w:pPr>
      <w:r>
        <w:t>Supplier coverage across products.</w:t>
      </w:r>
    </w:p>
    <w:p>
      <w:pPr>
        <w:pStyle w:val="ListBullet"/>
      </w:pPr>
      <w:r>
        <w:t>Daily order volume and value.</w:t>
      </w:r>
    </w:p>
    <w:p>
      <w:pPr>
        <w:pStyle w:val="Heading2"/>
      </w:pPr>
      <w:r>
        <w:t>9.1 Verified Demonstration Results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Order</w:t>
            </w:r>
          </w:p>
        </w:tc>
        <w:tc>
          <w:tcPr>
            <w:tcW w:type="dxa" w:w="3312"/>
            <w:vAlign w:val="center"/>
          </w:tcPr>
          <w:p>
            <w:r>
              <w:rPr>
                <w:b/>
              </w:rPr>
              <w:t>Status</w:t>
            </w:r>
          </w:p>
        </w:tc>
        <w:tc>
          <w:tcPr>
            <w:tcW w:type="dxa" w:w="3312"/>
            <w:vAlign w:val="center"/>
          </w:tcPr>
          <w:p>
            <w:r>
              <w:rPr>
                <w:b/>
              </w:rPr>
              <w:t>Total (INR)</w:t>
            </w:r>
          </w:p>
        </w:tc>
      </w:tr>
      <w:tr>
        <w:tc>
          <w:tcPr>
            <w:tcW w:type="dxa" w:w="3312"/>
            <w:vAlign w:val="center"/>
          </w:tcPr>
          <w:p>
            <w:r>
              <w:t>VM-ORD-1001</w:t>
            </w:r>
          </w:p>
        </w:tc>
        <w:tc>
          <w:tcPr>
            <w:tcW w:type="dxa" w:w="3312"/>
            <w:vAlign w:val="center"/>
          </w:tcPr>
          <w:p>
            <w:r>
              <w:t>DELIVERED</w:t>
            </w:r>
          </w:p>
        </w:tc>
        <w:tc>
          <w:tcPr>
            <w:tcW w:type="dxa" w:w="3312"/>
            <w:vAlign w:val="center"/>
          </w:tcPr>
          <w:p>
            <w:r>
              <w:t>1727.90</w:t>
            </w:r>
          </w:p>
        </w:tc>
      </w:tr>
      <w:tr>
        <w:tc>
          <w:tcPr>
            <w:tcW w:type="dxa" w:w="3312"/>
            <w:vAlign w:val="center"/>
          </w:tcPr>
          <w:p>
            <w:r>
              <w:t>VM-ORD-1002</w:t>
            </w:r>
          </w:p>
        </w:tc>
        <w:tc>
          <w:tcPr>
            <w:tcW w:type="dxa" w:w="3312"/>
            <w:vAlign w:val="center"/>
          </w:tcPr>
          <w:p>
            <w:r>
              <w:t>SHIPPED</w:t>
            </w:r>
          </w:p>
        </w:tc>
        <w:tc>
          <w:tcPr>
            <w:tcW w:type="dxa" w:w="3312"/>
            <w:vAlign w:val="center"/>
          </w:tcPr>
          <w:p>
            <w:r>
              <w:t>1198.95</w:t>
            </w:r>
          </w:p>
        </w:tc>
      </w:tr>
      <w:tr>
        <w:tc>
          <w:tcPr>
            <w:tcW w:type="dxa" w:w="3312"/>
            <w:vAlign w:val="center"/>
          </w:tcPr>
          <w:p>
            <w:r>
              <w:t>VM-ORD-1003</w:t>
            </w:r>
          </w:p>
        </w:tc>
        <w:tc>
          <w:tcPr>
            <w:tcW w:type="dxa" w:w="3312"/>
            <w:vAlign w:val="center"/>
          </w:tcPr>
          <w:p>
            <w:r>
              <w:t>PROCESSING</w:t>
            </w:r>
          </w:p>
        </w:tc>
        <w:tc>
          <w:tcPr>
            <w:tcW w:type="dxa" w:w="3312"/>
            <w:vAlign w:val="center"/>
          </w:tcPr>
          <w:p>
            <w:r>
              <w:t>668.95</w:t>
            </w:r>
          </w:p>
        </w:tc>
      </w:tr>
      <w:tr>
        <w:tc>
          <w:tcPr>
            <w:tcW w:type="dxa" w:w="3312"/>
            <w:vAlign w:val="center"/>
          </w:tcPr>
          <w:p>
            <w:r>
              <w:t>Total</w:t>
            </w:r>
          </w:p>
        </w:tc>
        <w:tc>
          <w:tcPr>
            <w:tcW w:type="dxa" w:w="3312"/>
            <w:vAlign w:val="center"/>
          </w:tcPr>
          <w:p>
            <w:r>
              <w:t>3 orders</w:t>
            </w:r>
          </w:p>
        </w:tc>
        <w:tc>
          <w:tcPr>
            <w:tcW w:type="dxa" w:w="3312"/>
            <w:vAlign w:val="center"/>
          </w:tcPr>
          <w:p>
            <w:r>
              <w:t>3595.80</w:t>
            </w:r>
          </w:p>
        </w:tc>
      </w:tr>
    </w:tbl>
    <w:p/>
    <w:p>
      <w:r>
        <w:t>The inventory reorder query returned no rows because all 8 inventory records had 100 units on hand, 0 reserved, and a reorder level of 10. This is an expected result for the current synthetic dataset, not evidence that the reorder-alert query is unnecessary.</w:t>
      </w:r>
    </w:p>
    <w:p>
      <w:pPr>
        <w:pStyle w:val="Heading1"/>
      </w:pPr>
      <w:r>
        <w:t>10. Security and Privacy Considerations</w:t>
      </w:r>
    </w:p>
    <w:p>
      <w:pPr>
        <w:pStyle w:val="ListBullet"/>
      </w:pPr>
      <w:r>
        <w:t>Only fictional demonstration records are used.</w:t>
      </w:r>
    </w:p>
    <w:p>
      <w:pPr>
        <w:pStyle w:val="ListBullet"/>
      </w:pPr>
      <w:r>
        <w:t>No personal API keys, passwords, or production credentials are included in project files.</w:t>
      </w:r>
    </w:p>
    <w:p>
      <w:pPr>
        <w:pStyle w:val="ListBullet"/>
      </w:pPr>
      <w:r>
        <w:t>Database access should use least-privilege roles when the project is extended.</w:t>
      </w:r>
    </w:p>
    <w:p>
      <w:pPr>
        <w:pStyle w:val="ListBullet"/>
      </w:pPr>
      <w:r>
        <w:t>Credentials should not be committed to source control or stored in SQL scripts.</w:t>
      </w:r>
    </w:p>
    <w:p>
      <w:pPr>
        <w:pStyle w:val="ListBullet"/>
      </w:pPr>
      <w:r>
        <w:t>The audit_log table is not currently wired to automatic triggers; automated auditing would require additional implementation and testing.</w:t>
      </w:r>
    </w:p>
    <w:p>
      <w:pPr>
        <w:pStyle w:val="ListBullet"/>
      </w:pPr>
      <w:r>
        <w:t>Backups, access controls, retention rules, and monitoring would need to be configured before production use.</w:t>
      </w:r>
    </w:p>
    <w:p>
      <w:pPr>
        <w:pStyle w:val="Heading1"/>
      </w:pPr>
      <w:r>
        <w:t>11. Limitations and Assumptions</w:t>
      </w:r>
    </w:p>
    <w:p>
      <w:pPr>
        <w:pStyle w:val="ListBullet"/>
      </w:pPr>
      <w:r>
        <w:t>The dataset is small, synthetic, and intended for learning and demonstration.</w:t>
      </w:r>
    </w:p>
    <w:p>
      <w:pPr>
        <w:pStyle w:val="ListBullet"/>
      </w:pPr>
      <w:r>
        <w:t>The ERD is a visual overview; SQL scripts define the authoritative schema.</w:t>
      </w:r>
    </w:p>
    <w:p>
      <w:pPr>
        <w:pStyle w:val="ListBullet"/>
      </w:pPr>
      <w:r>
        <w:t>The audit_log table is a foundation only and does not automatically capture database changes.</w:t>
      </w:r>
    </w:p>
    <w:p>
      <w:pPr>
        <w:pStyle w:val="ListBullet"/>
      </w:pPr>
      <w:r>
        <w:t>Returns and return_items have been created but are not populated in the current sample dataset.</w:t>
      </w:r>
    </w:p>
    <w:p>
      <w:pPr>
        <w:pStyle w:val="ListBullet"/>
      </w:pPr>
      <w:r>
        <w:t>Performance has not been benchmarked with production-sized data.</w:t>
      </w:r>
    </w:p>
    <w:p>
      <w:pPr>
        <w:pStyle w:val="ListBullet"/>
      </w:pPr>
      <w:r>
        <w:t>The analytics results reflect only the current sample records.</w:t>
      </w:r>
    </w:p>
    <w:p>
      <w:pPr>
        <w:pStyle w:val="Heading1"/>
      </w:pPr>
      <w:r>
        <w:t>12. Future Enhancements</w:t>
      </w:r>
    </w:p>
    <w:p>
      <w:pPr>
        <w:pStyle w:val="ListBullet"/>
      </w:pPr>
      <w:r>
        <w:t>Add more synthetic orders, products, inventory changes, and return scenarios.</w:t>
      </w:r>
    </w:p>
    <w:p>
      <w:pPr>
        <w:pStyle w:val="ListBullet"/>
      </w:pPr>
      <w:r>
        <w:t>Add automated integrity checks for order totals, payment amounts, and inventory quantities.</w:t>
      </w:r>
    </w:p>
    <w:p>
      <w:pPr>
        <w:pStyle w:val="ListBullet"/>
      </w:pPr>
      <w:r>
        <w:t>Implement and test controlled audit logging if required.</w:t>
      </w:r>
    </w:p>
    <w:p>
      <w:pPr>
        <w:pStyle w:val="ListBullet"/>
      </w:pPr>
      <w:r>
        <w:t>Review query plans with EXPLAIN ANALYZE and benchmark indexes on larger datasets.</w:t>
      </w:r>
    </w:p>
    <w:p>
      <w:pPr>
        <w:pStyle w:val="ListBullet"/>
      </w:pPr>
      <w:r>
        <w:t>Add repeatable test scripts and a documented database reset procedure.</w:t>
      </w:r>
    </w:p>
    <w:p>
      <w:pPr>
        <w:pStyle w:val="ListBullet"/>
      </w:pPr>
      <w:r>
        <w:t>Refine the ERD with explicit cardinalities and complete key relationships.</w:t>
      </w:r>
    </w:p>
    <w:p>
      <w:pPr>
        <w:pStyle w:val="Heading1"/>
      </w:pPr>
      <w:r>
        <w:t>13. Project Structure</w:t>
      </w:r>
    </w:p>
    <w:p>
      <w:pPr>
        <w:pStyle w:val="ListBullet"/>
      </w:pPr>
      <w:r>
        <w:t>sql/01_schema.sql — schema setup</w:t>
      </w:r>
    </w:p>
    <w:p>
      <w:pPr>
        <w:pStyle w:val="ListBullet"/>
      </w:pPr>
      <w:r>
        <w:t>sql/02_tables.sql — table definitions</w:t>
      </w:r>
    </w:p>
    <w:p>
      <w:pPr>
        <w:pStyle w:val="ListBullet"/>
      </w:pPr>
      <w:r>
        <w:t>sql/03_indexes.sql — explicit indexes</w:t>
      </w:r>
    </w:p>
    <w:p>
      <w:pPr>
        <w:pStyle w:val="ListBullet"/>
      </w:pPr>
      <w:r>
        <w:t>sql/04_sample_data.sql — synthetic demonstration data</w:t>
      </w:r>
    </w:p>
    <w:p>
      <w:pPr>
        <w:pStyle w:val="ListBullet"/>
      </w:pPr>
      <w:r>
        <w:t>sql/05_analytics.sql — analytical SELECT queries</w:t>
      </w:r>
    </w:p>
    <w:p>
      <w:pPr>
        <w:pStyle w:val="ListBullet"/>
      </w:pPr>
      <w:r>
        <w:t>diagrams/VirtualMart_ERD.drawio — editable ERD</w:t>
      </w:r>
    </w:p>
    <w:p>
      <w:pPr>
        <w:pStyle w:val="ListBullet"/>
      </w:pPr>
      <w:r>
        <w:t>diagrams/VirtualMart_ERD.png — exported ERD image</w:t>
      </w:r>
    </w:p>
    <w:p>
      <w:pPr>
        <w:pStyle w:val="ListBullet"/>
      </w:pPr>
      <w:r>
        <w:t>docs/VirtualMart_Report.docx — this report</w:t>
      </w:r>
    </w:p>
    <w:p>
      <w:pPr>
        <w:pStyle w:val="ListBullet"/>
      </w:pPr>
      <w:r>
        <w:t>scripts/generate_report.py — local report-generation script</w:t>
      </w:r>
    </w:p>
    <w:p>
      <w:pPr>
        <w:pStyle w:val="Heading1"/>
      </w:pPr>
      <w:r>
        <w:t>14. Conclusion</w:t>
      </w:r>
    </w:p>
    <w:p>
      <w:r>
        <w:t>The VirtualMart project demonstrates the foundational workflow of designing a relational database, defining entities and relationships, adding integrity constraints and indexes, inserting synthetic data, and validating analytical queries. The project is a useful starting point for further work in database development and data analysis. Additional automated testing, security controls, and performance evaluation would be required before any production deployment.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VirtualMart | Database Modeling and Architecture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