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----- INVESTIMENTO ZERADO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drop table if exists #clientes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ClientCode, TotalNetEquity, LastUpdatePosition, ReferenceDate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into #clientes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Bus_PosRisk.PositionHistory (nolock) ph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where TotalNetEquity = 0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ph.ID = (select max(id) from Bus_PosRisk.PositionHistory (nolock)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 xml:space="preserve">where ClientCode = ph.ClientCode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  <w:t xml:space="preserve">and LastUpdatePosition between '2026-01-01' and '2026-02-28')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--and ClientCode = 101799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order by LastUpdatePosition desC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--create nonclustered index #IXCLI on #clientes (Clientcode)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--select count(*) from #clientes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 ÚLTIMO SALDO MAIOR QUE 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drop table if exists #CLIENTES_SALDO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ClientCode, TotalNetEquity, LastUpdatePosition, ReferenceDate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INTO #CLIENTES_SALDO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Bus_PosRisk.PositionHistory (nolock) ph --on z.ClientCode = ph.ClientCode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WHERE ph.ID = 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SELECT MAX(ID)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FROM Bus_PosRisk.PositionHistory (nolock)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WHERE ClientCode = ph.ClientCode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 xml:space="preserve">and LastUpdatePosition between '2026-01-01' and '2026-02-28'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AND TotalNetEquity &gt; 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OPTION (MAXDOP 20)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--SELECT * FROM #CLIENTES_SALDO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 RETIROU O SALDO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select  z.ClientCode,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z.TotalNetEquity Saldo_Atual,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z.LastUpdatePosition Data_Atual,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s.TotalNetEquity Saldo_Anterior,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s.LastUpdatePosition Data_Anterior,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z.ReferenceDate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--into #2025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#clientes z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join #CLIENTES_SALDO s on z.ClientCode = s.ClientCode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where Z.LastUpdatePosition &gt; S.LastUpdatePosition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--AND z.ClientCode = 101799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