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https://www.ncbi.nlm.nih.gov/protein/159024813</w:t>
      </w:r>
      <w:r/>
      <w:r/>
    </w:p>
    <w:p w14:paraId="29ABE2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NP_739584.2</w:t>
      </w:r>
      <w:r>
        <w:rPr>
          <w:highlight w:val="none"/>
        </w:rPr>
      </w:r>
      <w:r>
        <w:rPr>
          <w:highlight w:val="none"/>
        </w:rPr>
      </w:r>
    </w:p>
    <w:p w14:paraId="62F611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550"/>
        <w:gridCol w:w="457"/>
        <w:gridCol w:w="4987"/>
        <w:gridCol w:w="170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79CFBD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5BBFF1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95B1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B5F6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72BE72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82211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14399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1AC3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7D15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D27BB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1620D3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A374F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2DAFBA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066607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B9765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91C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A25F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365BB2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C1DDFA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IKGIMQAGKRSLRPQPTELKYSWKTWGK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443B2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49A51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30BFA43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64214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79305C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KMLSTESH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050B2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9AC45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5B6E1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A5FE0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35440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D5EC1F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C9290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B293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95EB9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29FB59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KEKQDVFC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ABB17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34CE0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1F3896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91912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93F67E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7B023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3B159A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675E5C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D6BA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A2ED70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AGPVSQHNYRPGYHTQITGPWHLGK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7AE35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27CDD0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40A724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150EB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0EA5AC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2479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6F4DAE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1827A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5B96F0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777203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5A567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0361C4A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0AB0B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6129C1D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318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3D14DC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DCGNRGPSLRTTTASGKLITEWCCRSCTL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C9669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ED44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2F4BE8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07186E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67E728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FB6B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3" w:type="dxa"/>
            <w:vAlign w:val="center"/>
          </w:tcPr>
          <w:p w14:paraId="418680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50" w:type="dxa"/>
            <w:vAlign w:val="center"/>
          </w:tcPr>
          <w:p w14:paraId="76B644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7" w:type="dxa"/>
            <w:vAlign w:val="center"/>
          </w:tcPr>
          <w:p w14:paraId="4DA9C1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87" w:type="dxa"/>
            <w:vAlign w:val="center"/>
          </w:tcPr>
          <w:p w14:paraId="5C2E611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1CBCE5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</w:tr>
    </w:tbl>
    <w:p w14:paraId="7B2E0F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66"/>
        <w:gridCol w:w="160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80405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1A0475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Epítopo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765C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FAC86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 (10–10)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56E4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48E5AC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93–120 (28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5707D4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baixa conservação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CEE9C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122–129 (0.925)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1FBD2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baixo limite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7774D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172–179 (0.945)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4DF833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6FE148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 (278)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608DE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50E6ED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CD (280–281)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0D3CA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longo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4D659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290–318 (29 aa)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66" w:type="dxa"/>
            <w:vAlign w:val="center"/>
          </w:tcPr>
          <w:p w14:paraId="384178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muito curto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00" w:type="dxa"/>
            <w:vAlign w:val="center"/>
          </w:tcPr>
          <w:p w14:paraId="73BA86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 (324)</w:t>
            </w:r>
            <w:r/>
          </w:p>
        </w:tc>
      </w:tr>
    </w:tbl>
    <w:p w14:paraId="6F6DE7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49D6FB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Epítopos selecionados (DENV2)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3"/>
        <w:gridCol w:w="520"/>
        <w:gridCol w:w="427"/>
        <w:gridCol w:w="2582"/>
        <w:gridCol w:w="734"/>
        <w:gridCol w:w="1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2BD69C4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F73792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79DBDE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2C5846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Peptide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C6850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Length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7F1B9F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Conservation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F5ED1B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1EB250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A3E2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5FF18D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HTWTEQYKFQPESP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48AE98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0BB1C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08B03D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4AAB0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531C38F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1EDCC3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TAECPNTNR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0D70FA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1A8DCF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3B8369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2A177C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3EBF2B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09EE7A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KSHTLWSNGVLESEMII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DADF5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259D94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" w:type="dxa"/>
            <w:vAlign w:val="center"/>
          </w:tcPr>
          <w:p w14:paraId="6CE92F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</w:tcPr>
          <w:p w14:paraId="3B7148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338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7" w:type="dxa"/>
            <w:vAlign w:val="center"/>
          </w:tcPr>
          <w:p w14:paraId="64F945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347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82" w:type="dxa"/>
            <w:vAlign w:val="center"/>
          </w:tcPr>
          <w:p w14:paraId="4A88D4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LKEKEENLVN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7D0CD7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73" w:type="dxa"/>
            <w:vAlign w:val="center"/>
          </w:tcPr>
          <w:p w14:paraId="522E7B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0.997</w:t>
            </w:r>
            <w:r/>
          </w:p>
        </w:tc>
      </w:tr>
    </w:tbl>
    <w:p w14:paraId="09727C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7EE6F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t xml:space="preserve">Para o sorotipo DENV2, foram identificados 13 epítopos preditos, dos quais 4 atenderam aos critérios de seleção (comprimento entre 8–25 aminoácidos e conservação ≥ 0,95). Os epítopos selecionados apresentaram altos níveis de conservação (≥ 0,993), destacan</w:t>
      </w:r>
      <w:r>
        <w:t xml:space="preserve">do-se as regiões 26–39, 140–148, 227–243 e 338–347 da proteína NS1.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8E2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2026-03-18T18:24:19Z</dcterms:modified>
</cp:coreProperties>
</file>