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CD47238">
      <w:pPr>
        <w:pBdr/>
        <w:spacing/>
        <w:ind/>
        <w:rPr>
          <w:lang w:val="pt-BR"/>
        </w:rPr>
      </w:pPr>
      <w:r>
        <w:rPr>
          <w:highlight w:val="none"/>
          <w:lang w:val="pt-BR"/>
        </w:rPr>
        <w:t xml:space="preserve">Resultados DENV 4:</w:t>
      </w:r>
      <w:r>
        <w:rPr>
          <w:highlight w:val="none"/>
          <w:lang w:val="pt-BR"/>
        </w:rPr>
      </w:r>
      <w:r>
        <w:rPr>
          <w:highlight w:val="none"/>
          <w:lang w:val="pt-BR"/>
        </w:rPr>
      </w:r>
    </w:p>
    <w:p w14:paraId="27249BEA">
      <w:pPr>
        <w:pBdr/>
        <w:spacing/>
        <w:ind/>
        <w:rPr>
          <w:highlight w:val="none"/>
          <w:lang w:val="pt-BR"/>
        </w:rPr>
      </w:pPr>
      <w:r>
        <w:rPr>
          <w:highlight w:val="none"/>
          <w:lang w:val="pt-BR"/>
        </w:rPr>
      </w:r>
      <w:r>
        <w:rPr>
          <w:highlight w:val="none"/>
          <w:lang w:val="pt-BR"/>
        </w:rPr>
      </w:r>
      <w:r>
        <w:rPr>
          <w:highlight w:val="none"/>
          <w:lang w:val="pt-BR"/>
        </w:rPr>
      </w:r>
    </w:p>
    <w:p w14:paraId="70CFE77B">
      <w:pPr>
        <w:pBdr/>
        <w:spacing/>
        <w:ind/>
        <w:rPr>
          <w:highlight w:val="none"/>
          <w:lang w:val="pt-BR"/>
        </w:rPr>
      </w:pPr>
      <w:r>
        <w:rPr>
          <w:lang w:val="pt-BR"/>
        </w:rPr>
        <w:t xml:space="preserve">TABELTA DENV4 – EPITOPOS ELEGIVEIS.</w:t>
      </w:r>
      <w:r>
        <w:rPr>
          <w:highlight w:val="none"/>
          <w:lang w:val="pt-BR"/>
        </w:rPr>
      </w:r>
    </w:p>
    <w:p w14:paraId="7998981C">
      <w:pPr>
        <w:pBdr/>
        <w:spacing/>
        <w:ind/>
        <w:rPr>
          <w:highlight w:val="none"/>
          <w:lang w:val="pt-BR"/>
        </w:rPr>
      </w:pP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</w:r>
      <w:r>
        <w:rPr>
          <w:highlight w:val="none"/>
          <w:lang w:val="pt-BR"/>
        </w:rPr>
      </w:r>
    </w:p>
    <w:p>
      <w:pPr>
        <w:pBdr/>
        <w:spacing/>
        <w:ind/>
        <w:rPr>
          <w:highlight w:val="none"/>
          <w:lang w:val="pt-BR"/>
        </w:rPr>
      </w:pPr>
      <w:r>
        <w:rPr>
          <w:lang w:val="pt-BR" w:bidi="pt-BR"/>
        </w:rPr>
      </w:r>
      <w:r>
        <w:rPr>
          <w:lang w:val="pt-BR"/>
        </w:rPr>
        <w:t xml:space="preserve">NP_740318.1</w:t>
      </w:r>
      <w:r>
        <w:rPr>
          <w:lang w:val="pt-BR" w:bidi="pt-BR"/>
        </w:rPr>
        <w:t xml:space="preserve"> seq de referencia</w:t>
      </w:r>
      <w:r>
        <w:rPr>
          <w:highlight w:val="none"/>
          <w:lang w:val="pt-BR" w:bidi="pt-BR"/>
        </w:rPr>
      </w:r>
    </w:p>
    <w:p w14:paraId="6216DC4E">
      <w:pPr>
        <w:pBdr/>
        <w:spacing/>
        <w:ind/>
        <w:rPr>
          <w:highlight w:val="none"/>
          <w:lang w:val="pt-BR"/>
        </w:rPr>
      </w:pP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</w:r>
    </w:p>
    <w:p w14:paraId="2C995FDF">
      <w:pPr>
        <w:pBdr/>
        <w:spacing/>
        <w:ind/>
        <w:rPr>
          <w:lang w:val="pt-BR"/>
        </w:rPr>
      </w:pPr>
      <w:r>
        <w:rPr>
          <w:highlight w:val="none"/>
          <w:lang w:val="pt-BR" w:bidi="pt-BR"/>
        </w:rPr>
        <w:t xml:space="preserve">A análise de conservação dos epítopos preditos na proteína NS1 do DENV-4 revelou que a maioria das regiões apresenta elevado grau de conservação, com valores superiores a 0,97. Alguns epítopos mostraram conservação absoluta (1,00), indicando ausência de var</w:t>
      </w:r>
      <w:r>
        <w:rPr>
          <w:highlight w:val="none"/>
          <w:lang w:val="pt-BR" w:bidi="pt-BR"/>
        </w:rPr>
        <w:t xml:space="preserve">iação entre as sequências analisadas.</w:t>
      </w:r>
      <w:r>
        <w:rPr>
          <w:lang w:val="pt-BR" w:bidi="pt-BR"/>
        </w:rPr>
      </w:r>
      <w:r>
        <w:rPr>
          <w:highlight w:val="none"/>
          <w:lang w:val="pt-BR" w:bidi="pt-BR"/>
        </w:rPr>
      </w:r>
    </w:p>
    <w:p w14:paraId="21426A5D">
      <w:pPr>
        <w:pBdr/>
        <w:spacing/>
        <w:ind/>
        <w:rPr>
          <w:highlight w:val="none"/>
          <w:lang w:val="pt-BR"/>
        </w:rPr>
      </w:pPr>
      <w:r>
        <w:rPr>
          <w:highlight w:val="none"/>
          <w:lang w:val="pt-BR" w:bidi="pt-BR"/>
        </w:rPr>
        <w:t xml:space="preserve">Esses resultados sugerem que tais regiões são altamente estáveis do ponto de vista evolutivo, podendo desempenhar papel relevante em aplicações imunológicas, como desenvolvimento de testes diagnósticos e estratégias vacinais.</w:t>
      </w: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</w:r>
    </w:p>
    <w:p w14:paraId="0AE82EB0">
      <w:pPr>
        <w:pBdr/>
        <w:spacing/>
        <w:ind/>
        <w:rPr>
          <w:highlight w:val="none"/>
          <w:lang w:val="pt-BR"/>
        </w:rPr>
      </w:pP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  <w:t xml:space="preserve">Posições contendo lacunas ou aminoácidos ambíguos foram desconsideradas no cálculo da conservação.</w:t>
      </w: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</w:r>
    </w:p>
    <w:p w14:paraId="31AAD763">
      <w:pPr>
        <w:pBdr/>
        <w:spacing/>
        <w:ind/>
        <w:rPr>
          <w:highlight w:val="none"/>
          <w:lang w:val="pt-BR"/>
        </w:rPr>
      </w:pP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  <w:t xml:space="preserve">Epítopos com comprimento superior a 25 aminoácidos foram excluídos por apresentarem menor especificidade e aplicabilidade experimental.</w:t>
      </w: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250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</w:tcPr>
          <w:p w14:paraId="67913E8E">
            <w:pPr>
              <w:pBdr/>
              <w:spacing w:after="0" w:before="0" w:line="240"/>
              <w:ind/>
              <w:jc w:val="center"/>
              <w:rPr>
                <w:lang w:val="pt-BR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pt-BR"/>
              </w:rPr>
              <w:t xml:space="preserve">Conservação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03" w:type="dxa"/>
            <w:vAlign w:val="center"/>
          </w:tcPr>
          <w:p w14:paraId="71297625">
            <w:pPr>
              <w:pBdr/>
              <w:spacing w:after="0" w:before="0" w:line="240"/>
              <w:ind/>
              <w:jc w:val="center"/>
              <w:rPr>
                <w:lang w:val="pt-BR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pt-BR"/>
              </w:rPr>
              <w:t xml:space="preserve">Classificação</w:t>
            </w:r>
            <w:r>
              <w:rPr>
                <w:lang w:val="pt-BR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</w:tcPr>
          <w:p w14:paraId="1240B191">
            <w:pPr>
              <w:pBdr/>
              <w:spacing w:after="0" w:before="0" w:line="240"/>
              <w:ind/>
              <w:jc w:val="center"/>
              <w:rPr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pt-BR"/>
              </w:rPr>
              <w:t xml:space="preserve">≥ 0.98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03" w:type="dxa"/>
            <w:vAlign w:val="center"/>
          </w:tcPr>
          <w:p w14:paraId="4C5196D8">
            <w:pPr>
              <w:pBdr/>
              <w:spacing w:after="0" w:before="0" w:line="240"/>
              <w:ind/>
              <w:jc w:val="center"/>
              <w:rPr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pt-BR"/>
              </w:rPr>
              <w:t xml:space="preserve">Altamente conservado</w:t>
            </w:r>
            <w:r>
              <w:rPr>
                <w:lang w:val="pt-BR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</w:tcPr>
          <w:p w14:paraId="2F2C6AFE">
            <w:pPr>
              <w:pBdr/>
              <w:spacing w:after="0" w:before="0" w:line="240"/>
              <w:ind/>
              <w:jc w:val="center"/>
              <w:rPr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pt-BR"/>
              </w:rPr>
              <w:t xml:space="preserve">0.95–0.98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03" w:type="dxa"/>
            <w:vAlign w:val="center"/>
          </w:tcPr>
          <w:p w14:paraId="3427ED3A">
            <w:pPr>
              <w:pBdr/>
              <w:spacing w:after="0" w:before="0" w:line="240"/>
              <w:ind/>
              <w:jc w:val="center"/>
              <w:rPr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pt-BR"/>
              </w:rPr>
              <w:t xml:space="preserve">Moderadamente conservado</w:t>
            </w:r>
            <w:r>
              <w:rPr>
                <w:lang w:val="pt-BR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</w:tcPr>
          <w:p w14:paraId="15363582">
            <w:pPr>
              <w:pBdr/>
              <w:spacing w:after="0" w:before="0" w:line="240"/>
              <w:ind/>
              <w:jc w:val="center"/>
              <w:rPr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pt-BR"/>
              </w:rPr>
              <w:t xml:space="preserve">&lt; 0.95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03" w:type="dxa"/>
            <w:vAlign w:val="center"/>
          </w:tcPr>
          <w:p w14:paraId="03BA9BA7">
            <w:pPr>
              <w:pBdr/>
              <w:spacing w:after="0" w:before="0" w:line="240"/>
              <w:ind/>
              <w:jc w:val="center"/>
              <w:rPr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pt-BR"/>
              </w:rPr>
              <w:t xml:space="preserve">Variável</w:t>
            </w:r>
            <w:r>
              <w:rPr>
                <w:lang w:val="pt-BR"/>
              </w:rPr>
            </w:r>
          </w:p>
        </w:tc>
      </w:tr>
    </w:tbl>
    <w:p w14:paraId="125900BA">
      <w:pPr>
        <w:pBdr/>
        <w:spacing/>
        <w:ind/>
        <w:rPr>
          <w:highlight w:val="none"/>
          <w:lang w:val="pt-BR"/>
        </w:rPr>
      </w:pP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83"/>
        <w:gridCol w:w="851"/>
        <w:gridCol w:w="709"/>
        <w:gridCol w:w="4252"/>
        <w:gridCol w:w="1134"/>
        <w:gridCol w:w="1701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" w:type="dxa"/>
            <w:vAlign w:val="center"/>
          </w:tcPr>
          <w:p w14:paraId="7ED719C5">
            <w:pPr>
              <w:pBdr/>
              <w:spacing w:after="0" w:before="0" w:line="240"/>
              <w:ind/>
              <w:jc w:val="center"/>
              <w:rPr>
                <w:lang w:val="pt-BR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pt-BR"/>
              </w:rPr>
              <w:t xml:space="preserve">Nº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51" w:type="dxa"/>
            <w:vAlign w:val="center"/>
          </w:tcPr>
          <w:p w14:paraId="360F69EF">
            <w:pPr>
              <w:pBdr/>
              <w:spacing w:after="0" w:before="0" w:line="240"/>
              <w:ind/>
              <w:jc w:val="center"/>
              <w:rPr>
                <w:lang w:val="pt-BR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pt-BR"/>
              </w:rPr>
              <w:t xml:space="preserve">Início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09" w:type="dxa"/>
            <w:vAlign w:val="center"/>
          </w:tcPr>
          <w:p w14:paraId="71CC14F6">
            <w:pPr>
              <w:pBdr/>
              <w:spacing w:after="0" w:before="0" w:line="240"/>
              <w:ind/>
              <w:jc w:val="center"/>
              <w:rPr>
                <w:lang w:val="pt-BR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pt-BR"/>
              </w:rPr>
              <w:t xml:space="preserve">Fim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52" w:type="dxa"/>
            <w:vAlign w:val="center"/>
          </w:tcPr>
          <w:p w14:paraId="4902ACBE">
            <w:pPr>
              <w:pBdr/>
              <w:spacing w:after="0" w:before="0" w:line="240"/>
              <w:ind/>
              <w:jc w:val="center"/>
              <w:rPr>
                <w:lang w:val="pt-BR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pt-BR"/>
              </w:rPr>
              <w:t xml:space="preserve">Peptídeo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4" w:type="dxa"/>
            <w:vAlign w:val="center"/>
          </w:tcPr>
          <w:p w14:paraId="59F60297">
            <w:pPr>
              <w:pBdr/>
              <w:spacing w:after="0" w:before="0" w:line="240"/>
              <w:ind/>
              <w:jc w:val="center"/>
              <w:rPr>
                <w:lang w:val="pt-BR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pt-BR"/>
              </w:rPr>
              <w:t xml:space="preserve">Tamanho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6F062DF1">
            <w:pPr>
              <w:pBdr/>
              <w:spacing w:after="0" w:before="0" w:line="240"/>
              <w:ind/>
              <w:jc w:val="center"/>
              <w:rPr>
                <w:lang w:val="pt-BR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pt-BR"/>
              </w:rPr>
              <w:t xml:space="preserve">Conservação</w:t>
            </w:r>
            <w:r>
              <w:rPr>
                <w:lang w:val="pt-BR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" w:type="dxa"/>
            <w:vAlign w:val="center"/>
          </w:tcPr>
          <w:p w14:paraId="1A47A0D4">
            <w:pPr>
              <w:pBdr/>
              <w:spacing w:after="0" w:before="0" w:line="240"/>
              <w:ind/>
              <w:jc w:val="center"/>
              <w:rPr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pt-BR"/>
              </w:rPr>
              <w:t xml:space="preserve">1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51" w:type="dxa"/>
            <w:vAlign w:val="center"/>
          </w:tcPr>
          <w:p w14:paraId="5CD712B7">
            <w:pPr>
              <w:pBdr/>
              <w:spacing w:after="0" w:before="0" w:line="240"/>
              <w:ind/>
              <w:jc w:val="center"/>
              <w:rPr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pt-BR"/>
              </w:rPr>
              <w:t xml:space="preserve">26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09" w:type="dxa"/>
            <w:vAlign w:val="center"/>
          </w:tcPr>
          <w:p w14:paraId="5BB88C9C">
            <w:pPr>
              <w:pBdr/>
              <w:spacing w:after="0" w:before="0" w:line="240"/>
              <w:ind/>
              <w:jc w:val="center"/>
              <w:rPr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pt-BR"/>
              </w:rPr>
              <w:t xml:space="preserve">39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52" w:type="dxa"/>
            <w:vAlign w:val="center"/>
          </w:tcPr>
          <w:p w14:paraId="29EC9643">
            <w:pPr>
              <w:pBdr/>
              <w:spacing w:after="0" w:before="0" w:line="240"/>
              <w:ind/>
              <w:jc w:val="center"/>
              <w:rPr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pt-BR"/>
              </w:rPr>
              <w:t xml:space="preserve">HTWTEQYKFQPESP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4" w:type="dxa"/>
            <w:vAlign w:val="center"/>
          </w:tcPr>
          <w:p w14:paraId="0C39E668">
            <w:pPr>
              <w:pBdr/>
              <w:spacing w:after="0" w:before="0" w:line="240"/>
              <w:ind/>
              <w:jc w:val="center"/>
              <w:rPr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pt-BR"/>
              </w:rPr>
              <w:t xml:space="preserve">14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0207B8B8">
            <w:pPr>
              <w:pBdr/>
              <w:spacing w:after="0" w:before="0" w:line="240"/>
              <w:ind/>
              <w:jc w:val="center"/>
              <w:rPr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pt-BR"/>
              </w:rPr>
              <w:t xml:space="preserve">0.9986</w:t>
            </w:r>
            <w:r>
              <w:rPr>
                <w:lang w:val="pt-BR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" w:type="dxa"/>
            <w:vAlign w:val="center"/>
          </w:tcPr>
          <w:p w14:paraId="3BD8F203">
            <w:pPr>
              <w:pBdr/>
              <w:spacing w:after="0" w:before="0" w:line="240"/>
              <w:ind/>
              <w:jc w:val="center"/>
              <w:rPr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pt-BR"/>
              </w:rPr>
              <w:t xml:space="preserve">2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51" w:type="dxa"/>
            <w:vAlign w:val="center"/>
          </w:tcPr>
          <w:p w14:paraId="4741413A">
            <w:pPr>
              <w:pBdr/>
              <w:spacing w:after="0" w:before="0" w:line="240"/>
              <w:ind/>
              <w:jc w:val="center"/>
              <w:rPr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pt-BR"/>
              </w:rPr>
              <w:t xml:space="preserve">116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09" w:type="dxa"/>
            <w:vAlign w:val="center"/>
          </w:tcPr>
          <w:p w14:paraId="0A51421B">
            <w:pPr>
              <w:pBdr/>
              <w:spacing w:after="0" w:before="0" w:line="240"/>
              <w:ind/>
              <w:jc w:val="center"/>
              <w:rPr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pt-BR"/>
              </w:rPr>
              <w:t xml:space="preserve">130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52" w:type="dxa"/>
            <w:vAlign w:val="center"/>
          </w:tcPr>
          <w:p w14:paraId="17E44F2F">
            <w:pPr>
              <w:pBdr/>
              <w:spacing w:after="0" w:before="0" w:line="240"/>
              <w:ind/>
              <w:jc w:val="center"/>
              <w:rPr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pt-BR"/>
              </w:rPr>
              <w:t xml:space="preserve">KTWGKAKIFTPEARN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4" w:type="dxa"/>
            <w:vAlign w:val="center"/>
          </w:tcPr>
          <w:p w14:paraId="75E31485">
            <w:pPr>
              <w:pBdr/>
              <w:spacing w:after="0" w:before="0" w:line="240"/>
              <w:ind/>
              <w:jc w:val="center"/>
              <w:rPr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pt-BR"/>
              </w:rPr>
              <w:t xml:space="preserve">15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7DDDF916">
            <w:pPr>
              <w:pBdr/>
              <w:spacing w:after="0" w:before="0" w:line="240"/>
              <w:ind/>
              <w:jc w:val="center"/>
              <w:rPr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pt-BR"/>
              </w:rPr>
              <w:t xml:space="preserve">0.9800</w:t>
            </w:r>
            <w:r>
              <w:rPr>
                <w:lang w:val="pt-BR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" w:type="dxa"/>
            <w:vAlign w:val="center"/>
          </w:tcPr>
          <w:p w14:paraId="248E6728">
            <w:pPr>
              <w:pBdr/>
              <w:spacing w:after="0" w:before="0" w:line="240"/>
              <w:ind/>
              <w:jc w:val="center"/>
              <w:rPr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pt-BR"/>
              </w:rPr>
              <w:t xml:space="preserve">3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51" w:type="dxa"/>
            <w:vAlign w:val="center"/>
          </w:tcPr>
          <w:p w14:paraId="27C63EEA">
            <w:pPr>
              <w:pBdr/>
              <w:spacing w:after="0" w:before="0" w:line="240"/>
              <w:ind/>
              <w:jc w:val="center"/>
              <w:rPr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pt-BR"/>
              </w:rPr>
              <w:t xml:space="preserve">138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09" w:type="dxa"/>
            <w:vAlign w:val="center"/>
          </w:tcPr>
          <w:p w14:paraId="00D6C6A1">
            <w:pPr>
              <w:pBdr/>
              <w:spacing w:after="0" w:before="0" w:line="240"/>
              <w:ind/>
              <w:jc w:val="center"/>
              <w:rPr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pt-BR"/>
              </w:rPr>
              <w:t xml:space="preserve">148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52" w:type="dxa"/>
            <w:vAlign w:val="center"/>
          </w:tcPr>
          <w:p w14:paraId="6335BF59">
            <w:pPr>
              <w:pBdr/>
              <w:spacing w:after="0" w:before="0" w:line="240"/>
              <w:ind/>
              <w:jc w:val="center"/>
              <w:rPr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pt-BR"/>
              </w:rPr>
              <w:t xml:space="preserve">PDTSECPNERR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4" w:type="dxa"/>
            <w:vAlign w:val="center"/>
          </w:tcPr>
          <w:p w14:paraId="4653DE14">
            <w:pPr>
              <w:pBdr/>
              <w:spacing w:after="0" w:before="0" w:line="240"/>
              <w:ind/>
              <w:jc w:val="center"/>
              <w:rPr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pt-BR"/>
              </w:rPr>
              <w:t xml:space="preserve">11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395DF1E9">
            <w:pPr>
              <w:pBdr/>
              <w:spacing w:after="0" w:before="0" w:line="240"/>
              <w:ind/>
              <w:jc w:val="center"/>
              <w:rPr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pt-BR"/>
              </w:rPr>
              <w:t xml:space="preserve">0.9936</w:t>
            </w:r>
            <w:r>
              <w:rPr>
                <w:lang w:val="pt-BR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" w:type="dxa"/>
            <w:vAlign w:val="center"/>
          </w:tcPr>
          <w:p w14:paraId="4D327D0A">
            <w:pPr>
              <w:pBdr/>
              <w:spacing w:after="0" w:before="0" w:line="240"/>
              <w:ind/>
              <w:jc w:val="center"/>
              <w:rPr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pt-BR"/>
              </w:rPr>
              <w:t xml:space="preserve">4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51" w:type="dxa"/>
            <w:vAlign w:val="center"/>
          </w:tcPr>
          <w:p w14:paraId="7E60C4D0">
            <w:pPr>
              <w:pBdr/>
              <w:spacing w:after="0" w:before="0" w:line="240"/>
              <w:ind/>
              <w:jc w:val="center"/>
              <w:rPr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pt-BR"/>
              </w:rPr>
              <w:t xml:space="preserve">172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09" w:type="dxa"/>
            <w:vAlign w:val="center"/>
          </w:tcPr>
          <w:p w14:paraId="4BE7A113">
            <w:pPr>
              <w:pBdr/>
              <w:spacing w:after="0" w:before="0" w:line="240"/>
              <w:ind/>
              <w:jc w:val="center"/>
              <w:rPr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pt-BR"/>
              </w:rPr>
              <w:t xml:space="preserve">179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52" w:type="dxa"/>
            <w:vAlign w:val="center"/>
          </w:tcPr>
          <w:p w14:paraId="5195E6B9">
            <w:pPr>
              <w:pBdr/>
              <w:spacing w:after="0" w:before="0" w:line="240"/>
              <w:ind/>
              <w:jc w:val="center"/>
              <w:rPr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pt-BR"/>
              </w:rPr>
              <w:t xml:space="preserve">REGSSEVC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4" w:type="dxa"/>
            <w:vAlign w:val="center"/>
          </w:tcPr>
          <w:p w14:paraId="749C5DB5">
            <w:pPr>
              <w:pBdr/>
              <w:spacing w:after="0" w:before="0" w:line="240"/>
              <w:ind/>
              <w:jc w:val="center"/>
              <w:rPr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pt-BR"/>
              </w:rPr>
              <w:t xml:space="preserve">8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0E844B0F">
            <w:pPr>
              <w:pBdr/>
              <w:spacing w:after="0" w:before="0" w:line="240"/>
              <w:ind/>
              <w:jc w:val="center"/>
              <w:rPr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pt-BR"/>
              </w:rPr>
              <w:t xml:space="preserve">0.9968</w:t>
            </w:r>
            <w:r>
              <w:rPr>
                <w:lang w:val="pt-BR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" w:type="dxa"/>
            <w:vAlign w:val="center"/>
          </w:tcPr>
          <w:p w14:paraId="4E471BE1">
            <w:pPr>
              <w:pBdr/>
              <w:spacing w:after="0" w:before="0" w:line="240"/>
              <w:ind/>
              <w:jc w:val="center"/>
              <w:rPr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pt-BR"/>
              </w:rPr>
              <w:t xml:space="preserve">5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51" w:type="dxa"/>
            <w:vAlign w:val="center"/>
          </w:tcPr>
          <w:p w14:paraId="16B2CE32">
            <w:pPr>
              <w:pBdr/>
              <w:spacing w:after="0" w:before="0" w:line="240"/>
              <w:ind/>
              <w:jc w:val="center"/>
              <w:rPr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pt-BR"/>
              </w:rPr>
              <w:t xml:space="preserve">228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09" w:type="dxa"/>
            <w:vAlign w:val="center"/>
          </w:tcPr>
          <w:p w14:paraId="1793ED4E">
            <w:pPr>
              <w:pBdr/>
              <w:spacing w:after="0" w:before="0" w:line="240"/>
              <w:ind/>
              <w:jc w:val="center"/>
              <w:rPr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pt-BR"/>
              </w:rPr>
              <w:t xml:space="preserve">241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52" w:type="dxa"/>
            <w:vAlign w:val="center"/>
          </w:tcPr>
          <w:p w14:paraId="31650ED2">
            <w:pPr>
              <w:pBdr/>
              <w:spacing w:after="0" w:before="0" w:line="240"/>
              <w:ind/>
              <w:jc w:val="center"/>
              <w:rPr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pt-BR"/>
              </w:rPr>
              <w:t xml:space="preserve">THTLWSNGVLESQM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4" w:type="dxa"/>
            <w:vAlign w:val="center"/>
          </w:tcPr>
          <w:p w14:paraId="4F49684D">
            <w:pPr>
              <w:pBdr/>
              <w:spacing w:after="0" w:before="0" w:line="240"/>
              <w:ind/>
              <w:jc w:val="center"/>
              <w:rPr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pt-BR"/>
              </w:rPr>
              <w:t xml:space="preserve">14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7FB41C5C">
            <w:pPr>
              <w:pBdr/>
              <w:spacing w:after="0" w:before="0" w:line="240"/>
              <w:ind/>
              <w:jc w:val="center"/>
              <w:rPr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pt-BR"/>
              </w:rPr>
              <w:t xml:space="preserve">0.9995</w:t>
            </w:r>
            <w:r>
              <w:rPr>
                <w:lang w:val="pt-BR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" w:type="dxa"/>
            <w:vAlign w:val="center"/>
          </w:tcPr>
          <w:p w14:paraId="774D36F0">
            <w:pPr>
              <w:pBdr/>
              <w:spacing w:after="0" w:before="0" w:line="240"/>
              <w:ind/>
              <w:jc w:val="center"/>
              <w:rPr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pt-BR"/>
              </w:rPr>
              <w:t xml:space="preserve">6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51" w:type="dxa"/>
            <w:vAlign w:val="center"/>
          </w:tcPr>
          <w:p w14:paraId="485CE27F">
            <w:pPr>
              <w:pBdr/>
              <w:spacing w:after="0" w:before="0" w:line="240"/>
              <w:ind/>
              <w:jc w:val="center"/>
              <w:rPr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pt-BR"/>
              </w:rPr>
              <w:t xml:space="preserve">248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09" w:type="dxa"/>
            <w:vAlign w:val="center"/>
          </w:tcPr>
          <w:p w14:paraId="7E79C7F1">
            <w:pPr>
              <w:pBdr/>
              <w:spacing w:after="0" w:before="0" w:line="240"/>
              <w:ind/>
              <w:jc w:val="center"/>
              <w:rPr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pt-BR"/>
              </w:rPr>
              <w:t xml:space="preserve">272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52" w:type="dxa"/>
            <w:vAlign w:val="center"/>
          </w:tcPr>
          <w:p w14:paraId="19DE2330">
            <w:pPr>
              <w:pBdr/>
              <w:spacing w:after="0" w:before="0" w:line="240"/>
              <w:ind/>
              <w:jc w:val="center"/>
              <w:rPr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pt-BR"/>
              </w:rPr>
              <w:t xml:space="preserve">AGPFSQHNYRQGYATQTVGPWHLGK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4" w:type="dxa"/>
            <w:vAlign w:val="center"/>
          </w:tcPr>
          <w:p w14:paraId="6802C2DB">
            <w:pPr>
              <w:pBdr/>
              <w:spacing w:after="0" w:before="0" w:line="240"/>
              <w:ind/>
              <w:jc w:val="center"/>
              <w:rPr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pt-BR"/>
              </w:rPr>
              <w:t xml:space="preserve">25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395A4D2F">
            <w:pPr>
              <w:pBdr/>
              <w:spacing w:after="0" w:before="0" w:line="240"/>
              <w:ind/>
              <w:jc w:val="center"/>
              <w:rPr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pt-BR"/>
              </w:rPr>
              <w:t xml:space="preserve">0.9789</w:t>
            </w:r>
            <w:r>
              <w:rPr>
                <w:lang w:val="pt-BR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" w:type="dxa"/>
            <w:vAlign w:val="center"/>
          </w:tcPr>
          <w:p w14:paraId="70F5149D">
            <w:pPr>
              <w:pBdr/>
              <w:spacing w:after="0" w:before="0" w:line="240"/>
              <w:ind/>
              <w:jc w:val="center"/>
              <w:rPr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pt-BR"/>
              </w:rPr>
              <w:t xml:space="preserve">7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51" w:type="dxa"/>
            <w:vAlign w:val="center"/>
          </w:tcPr>
          <w:p w14:paraId="077ED3E3">
            <w:pPr>
              <w:pBdr/>
              <w:spacing w:after="0" w:before="0" w:line="240"/>
              <w:ind/>
              <w:jc w:val="center"/>
              <w:rPr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pt-BR"/>
              </w:rPr>
              <w:t xml:space="preserve">338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09" w:type="dxa"/>
            <w:vAlign w:val="center"/>
          </w:tcPr>
          <w:p w14:paraId="510B1DCD">
            <w:pPr>
              <w:pBdr/>
              <w:spacing w:after="0" w:before="0" w:line="240"/>
              <w:ind/>
              <w:jc w:val="center"/>
              <w:rPr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pt-BR"/>
              </w:rPr>
              <w:t xml:space="preserve">348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52" w:type="dxa"/>
            <w:vAlign w:val="center"/>
          </w:tcPr>
          <w:p w14:paraId="2D76C0A8">
            <w:pPr>
              <w:pBdr/>
              <w:spacing w:after="0" w:before="0" w:line="240"/>
              <w:ind/>
              <w:jc w:val="center"/>
              <w:rPr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pt-BR"/>
              </w:rPr>
              <w:t xml:space="preserve">LSEKEENMVKS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4" w:type="dxa"/>
            <w:vAlign w:val="center"/>
          </w:tcPr>
          <w:p w14:paraId="06BCF982">
            <w:pPr>
              <w:pBdr/>
              <w:spacing w:after="0" w:before="0" w:line="240"/>
              <w:ind/>
              <w:jc w:val="center"/>
              <w:rPr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pt-BR"/>
              </w:rPr>
              <w:t xml:space="preserve">11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2974F860">
            <w:pPr>
              <w:pBdr/>
              <w:spacing w:after="0" w:before="0" w:line="240"/>
              <w:ind/>
              <w:jc w:val="center"/>
              <w:rPr>
                <w:lang w:val="pt-B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pt-BR"/>
              </w:rPr>
              <w:t xml:space="preserve">0.9838</w:t>
            </w:r>
            <w:r>
              <w:rPr>
                <w:lang w:val="pt-BR"/>
              </w:rPr>
            </w:r>
          </w:p>
        </w:tc>
      </w:tr>
    </w:tbl>
    <w:p w14:paraId="4D91C853">
      <w:pPr>
        <w:pBdr/>
        <w:spacing/>
        <w:ind/>
        <w:rPr>
          <w:highlight w:val="none"/>
          <w:lang w:val="pt-BR"/>
        </w:rPr>
      </w:pPr>
      <w:r>
        <w:rPr>
          <w:highlight w:val="none"/>
          <w:lang w:val="pt-BR"/>
        </w:rPr>
      </w:r>
      <w:r>
        <w:rPr>
          <w:highlight w:val="none"/>
          <w:lang w:val="pt-BR"/>
        </w:rPr>
      </w:r>
      <w:r>
        <w:rPr>
          <w:highlight w:val="none"/>
          <w:lang w:val="pt-BR"/>
        </w:rPr>
      </w:r>
    </w:p>
    <w:p w14:paraId="3892D0AB">
      <w:pPr>
        <w:pBdr/>
        <w:spacing/>
        <w:ind/>
        <w:jc w:val="both"/>
        <w:rPr>
          <w:highlight w:val="none"/>
          <w:lang w:val="pt-BR"/>
        </w:rPr>
      </w:pP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  <w:t xml:space="preserve">Os epítopos identificados na proteína NS1 do DENV-4 apresentaram elevado grau de conservação, com valores superiores a 0,97 na maioria dos casos. Esse padrão sugere que essas regiões estão sob forte pressão seletiva, indicando possível importância funcional</w:t>
      </w:r>
      <w:r>
        <w:rPr>
          <w:highlight w:val="none"/>
          <w:lang w:val="pt-BR" w:bidi="pt-BR"/>
        </w:rPr>
        <w:t xml:space="preserve"> ou estrutural na proteína.</w:t>
      </w: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</w:r>
    </w:p>
    <w:p w14:paraId="64097396">
      <w:pPr>
        <w:pBdr/>
        <w:spacing/>
        <w:ind/>
        <w:rPr>
          <w:highlight w:val="none"/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  <w:t xml:space="preserve">A proteína NS1 desempenha papel fundamental na patogênese do vírus da dengue e é amplamente reconhecida como alvo importante da resposta imune humoral. Epítopos conservados nessa proteína são particularmente relevantes, pois podem ser explorados no desenvol</w:t>
      </w:r>
      <w:r>
        <w:rPr>
          <w:lang w:val="pt-BR"/>
        </w:rPr>
        <w:t xml:space="preserve">vimento de vacinas e testes diagnósticos.</w:t>
      </w:r>
      <w:r>
        <w:rPr>
          <w:lang w:val="pt-BR"/>
        </w:rPr>
      </w:r>
      <w:r>
        <w:rPr>
          <w:lang w:val="pt-BR"/>
        </w:rPr>
      </w:r>
    </w:p>
    <w:p w14:paraId="5A92D6A6">
      <w:pPr>
        <w:pBdr/>
        <w:spacing/>
        <w:ind/>
        <w:rPr>
          <w:highlight w:val="none"/>
          <w:lang w:val="pt-BR" w:bidi="pt-BR"/>
        </w:rPr>
      </w:pP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  <w:t xml:space="preserve">Os epítopos altamente conservados identificados neste estudo apresentam potencial aplicação no desenvolvimento de ferramentas diagnósticas mais robustas, uma vez que regiões conservadas tendem a reduzir a ocorrência de falsos negativos decorrentes de variaç</w:t>
      </w:r>
      <w:r>
        <w:rPr>
          <w:highlight w:val="none"/>
          <w:lang w:val="pt-BR" w:bidi="pt-BR"/>
        </w:rPr>
        <w:t xml:space="preserve">ões genéticas entre cepas virais.</w:t>
      </w:r>
      <w:r>
        <w:rPr>
          <w:highlight w:val="none"/>
          <w:lang w:val="pt-BR" w:bidi="pt-BR"/>
        </w:rPr>
      </w:r>
      <w:r>
        <w:rPr>
          <w:lang w:val="pt-BR"/>
        </w:rPr>
      </w:r>
    </w:p>
    <w:p w14:paraId="2D185E69">
      <w:pPr>
        <w:pBdr/>
        <w:spacing/>
        <w:ind/>
        <w:rPr>
          <w:highlight w:val="none"/>
          <w:lang w:val="pt-BR" w:bidi="pt-BR"/>
        </w:rPr>
      </w:pP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  <w:t xml:space="preserve">A exclusão de epítopos muito curtos ou excessivamente longos, bem como daqueles com baixa conservação, permitiu a seleção de regiões com maior relevância biológica e potencial imunogênico. Esse refinamento metodológico contribui para a obtenção de candidato</w:t>
      </w:r>
      <w:r>
        <w:rPr>
          <w:highlight w:val="none"/>
          <w:lang w:val="pt-BR" w:bidi="pt-BR"/>
        </w:rPr>
        <w:t xml:space="preserve">s mais consistentes para aplicações futuras.</w:t>
      </w:r>
      <w:r>
        <w:rPr>
          <w:highlight w:val="none"/>
          <w:lang w:val="pt-BR" w:bidi="pt-BR"/>
        </w:rPr>
      </w:r>
      <w:r>
        <w:rPr>
          <w:lang w:val="pt-BR"/>
        </w:rPr>
      </w:r>
    </w:p>
    <w:p w14:paraId="109C3BBD">
      <w:pPr>
        <w:pBdr/>
        <w:spacing/>
        <w:ind/>
        <w:rPr>
          <w:lang w:val="pt-BR"/>
        </w:rPr>
      </w:pP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  <w:t xml:space="preserve">Apesar dos resultados promissores, este estudo baseia-se exclusivamente em análises in silico. Dessa forma, a validação experimental dos epítopos identificados é necessária para confirmar seu potencial imunogênico e aplicabilidade prática.</w:t>
      </w: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</w:r>
    </w:p>
    <w:p w14:paraId="686A7954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0395CBC5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876"/>
        <w:gridCol w:w="480"/>
        <w:gridCol w:w="547"/>
        <w:gridCol w:w="1067"/>
        <w:gridCol w:w="960"/>
      </w:tblGrid>
      <w:tr>
        <w:trPr>
          <w:trHeight w:val="627"/>
        </w:trPr>
        <w:tc>
          <w:tcPr>
            <w:tcBorders>
              <w:top w:val="single" w:color="000000" w:sz="4" w:space="0"/>
              <w:bottom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876" w:type="dxa"/>
            <w:vAlign w:val="top"/>
          </w:tcPr>
          <w:p w14:paraId="38DA61D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jc w:val="center"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  <w:u w:val="none"/>
              </w:rPr>
              <w:t xml:space="preserve">Sorotipo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480" w:type="dxa"/>
            <w:vAlign w:val="top"/>
          </w:tcPr>
          <w:p w14:paraId="6FFE290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jc w:val="center"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  <w:u w:val="none"/>
              </w:rPr>
              <w:t xml:space="preserve">N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547" w:type="dxa"/>
            <w:vAlign w:val="top"/>
          </w:tcPr>
          <w:p w14:paraId="6AE3AA0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jc w:val="center"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  <w:u w:val="none"/>
              </w:rPr>
              <w:t xml:space="preserve">SNPs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067" w:type="dxa"/>
            <w:vAlign w:val="top"/>
          </w:tcPr>
          <w:p w14:paraId="5AB5057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jc w:val="center"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  <w:u w:val="none"/>
              </w:rPr>
              <w:t xml:space="preserve">Densidade (SNP/bp)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960" w:type="dxa"/>
            <w:vAlign w:val="top"/>
          </w:tcPr>
          <w:p w14:paraId="09DE794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jc w:val="center"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  <w:u w:val="none"/>
              </w:rPr>
              <w:t xml:space="preserve">Distância média</w:t>
            </w:r>
            <w:r/>
          </w:p>
        </w:tc>
      </w:tr>
      <w:tr>
        <w:trPr>
          <w:trHeight w:val="560"/>
        </w:trPr>
        <w:tc>
          <w:tcPr>
            <w:tcBorders>
              <w:top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876" w:type="dxa"/>
            <w:vAlign w:val="top"/>
          </w:tcPr>
          <w:p w14:paraId="1A7E60A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  <w:u w:val="none"/>
              </w:rPr>
              <w:t xml:space="preserve">DENV1</w:t>
            </w:r>
            <w:r/>
          </w:p>
        </w:tc>
        <w:tc>
          <w:tcPr>
            <w:tcBorders>
              <w:top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480" w:type="dxa"/>
            <w:vAlign w:val="top"/>
          </w:tcPr>
          <w:p w14:paraId="57A3E6B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  <w:u w:val="none"/>
              </w:rPr>
              <w:t xml:space="preserve">1028</w:t>
            </w:r>
            <w:r/>
          </w:p>
        </w:tc>
        <w:tc>
          <w:tcPr>
            <w:tcBorders>
              <w:top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547" w:type="dxa"/>
            <w:vAlign w:val="top"/>
          </w:tcPr>
          <w:p w14:paraId="17E8022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  <w:u w:val="none"/>
              </w:rPr>
              <w:t xml:space="preserve">535</w:t>
            </w:r>
            <w:r/>
          </w:p>
        </w:tc>
        <w:tc>
          <w:tcPr>
            <w:tcBorders>
              <w:top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067" w:type="dxa"/>
            <w:vAlign w:val="top"/>
          </w:tcPr>
          <w:p w14:paraId="1C277D0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  <w:u w:val="none"/>
              </w:rPr>
              <w:t xml:space="preserve">0.507</w:t>
            </w:r>
            <w:r/>
          </w:p>
        </w:tc>
        <w:tc>
          <w:tcPr>
            <w:tcBorders>
              <w:top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960" w:type="dxa"/>
            <w:vAlign w:val="top"/>
          </w:tcPr>
          <w:p w14:paraId="6D39A82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  <w:u w:val="none"/>
              </w:rPr>
              <w:t xml:space="preserve">0.0801</w:t>
            </w:r>
            <w:r/>
          </w:p>
        </w:tc>
      </w:tr>
      <w:tr>
        <w:trPr>
          <w:trHeight w:val="560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876" w:type="dxa"/>
            <w:vAlign w:val="top"/>
          </w:tcPr>
          <w:p w14:paraId="06853D6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432" w:lineRule="auto"/>
              <w:ind w:right="0" w:firstLine="0" w:left="0"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  <w:u w:val="none"/>
              </w:rPr>
              <w:t xml:space="preserve">DENV2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80" w:type="dxa"/>
            <w:vAlign w:val="top"/>
          </w:tcPr>
          <w:p w14:paraId="506A96F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432" w:lineRule="auto"/>
              <w:ind w:right="0" w:firstLine="0" w:left="0"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  <w:u w:val="none"/>
              </w:rPr>
              <w:t xml:space="preserve">897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47" w:type="dxa"/>
            <w:vAlign w:val="top"/>
          </w:tcPr>
          <w:p w14:paraId="6B0CAC8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432" w:lineRule="auto"/>
              <w:ind w:right="0" w:firstLine="0" w:left="0"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  <w:u w:val="none"/>
              </w:rPr>
              <w:t xml:space="preserve">600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067" w:type="dxa"/>
            <w:vAlign w:val="top"/>
          </w:tcPr>
          <w:p w14:paraId="1A59C47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432" w:lineRule="auto"/>
              <w:ind w:right="0" w:firstLine="0" w:left="0"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  <w:u w:val="none"/>
              </w:rPr>
              <w:t xml:space="preserve">0.568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60" w:type="dxa"/>
            <w:vAlign w:val="top"/>
          </w:tcPr>
          <w:p w14:paraId="138599B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432" w:lineRule="auto"/>
              <w:ind w:right="0" w:firstLine="0" w:left="0"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  <w:u w:val="none"/>
              </w:rPr>
              <w:t xml:space="preserve">0.0854</w:t>
            </w:r>
            <w:r/>
          </w:p>
        </w:tc>
      </w:tr>
      <w:tr>
        <w:trPr>
          <w:trHeight w:val="560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876" w:type="dxa"/>
            <w:vAlign w:val="top"/>
          </w:tcPr>
          <w:p w14:paraId="2BC01D3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432" w:lineRule="auto"/>
              <w:ind w:right="0" w:firstLine="0" w:left="0"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  <w:u w:val="none"/>
              </w:rPr>
              <w:t xml:space="preserve">DENV3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80" w:type="dxa"/>
            <w:vAlign w:val="top"/>
          </w:tcPr>
          <w:p w14:paraId="0CF6724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432" w:lineRule="auto"/>
              <w:ind w:right="0" w:firstLine="0" w:left="0"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  <w:u w:val="none"/>
              </w:rPr>
              <w:t xml:space="preserve">647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47" w:type="dxa"/>
            <w:vAlign w:val="top"/>
          </w:tcPr>
          <w:p w14:paraId="5494118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432" w:lineRule="auto"/>
              <w:ind w:right="0" w:firstLine="0" w:left="0"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  <w:u w:val="none"/>
              </w:rPr>
              <w:t xml:space="preserve">515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067" w:type="dxa"/>
            <w:vAlign w:val="top"/>
          </w:tcPr>
          <w:p w14:paraId="4A268D5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432" w:lineRule="auto"/>
              <w:ind w:right="0" w:firstLine="0" w:left="0"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  <w:u w:val="none"/>
              </w:rPr>
              <w:t xml:space="preserve">0.488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60" w:type="dxa"/>
            <w:vAlign w:val="top"/>
          </w:tcPr>
          <w:p w14:paraId="3961854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432" w:lineRule="auto"/>
              <w:ind w:right="0" w:firstLine="0" w:left="0"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  <w:u w:val="none"/>
              </w:rPr>
              <w:t xml:space="preserve">0.0593</w:t>
            </w:r>
            <w:r/>
          </w:p>
        </w:tc>
      </w:tr>
      <w:tr>
        <w:trPr>
          <w:trHeight w:val="560"/>
        </w:trPr>
        <w:tc>
          <w:tcPr>
            <w:tcBorders>
              <w:bottom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876" w:type="dxa"/>
            <w:vAlign w:val="top"/>
          </w:tcPr>
          <w:p w14:paraId="772D9FF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  <w:u w:val="none"/>
              </w:rPr>
              <w:t xml:space="preserve">DENV4</w:t>
            </w:r>
            <w:r/>
          </w:p>
        </w:tc>
        <w:tc>
          <w:tcPr>
            <w:tcBorders>
              <w:bottom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480" w:type="dxa"/>
            <w:vAlign w:val="top"/>
          </w:tcPr>
          <w:p w14:paraId="34FF64E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  <w:u w:val="none"/>
              </w:rPr>
              <w:t xml:space="preserve">159</w:t>
            </w:r>
            <w:r/>
          </w:p>
        </w:tc>
        <w:tc>
          <w:tcPr>
            <w:tcBorders>
              <w:bottom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547" w:type="dxa"/>
            <w:vAlign w:val="top"/>
          </w:tcPr>
          <w:p w14:paraId="14304FF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  <w:u w:val="none"/>
              </w:rPr>
              <w:t xml:space="preserve">473</w:t>
            </w:r>
            <w:r/>
          </w:p>
        </w:tc>
        <w:tc>
          <w:tcPr>
            <w:tcBorders>
              <w:bottom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067" w:type="dxa"/>
            <w:vAlign w:val="top"/>
          </w:tcPr>
          <w:p w14:paraId="0681573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  <w:u w:val="none"/>
              </w:rPr>
              <w:t xml:space="preserve">0.448</w:t>
            </w:r>
            <w:r/>
          </w:p>
        </w:tc>
        <w:tc>
          <w:tcPr>
            <w:tcBorders>
              <w:bottom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960" w:type="dxa"/>
            <w:vAlign w:val="top"/>
          </w:tcPr>
          <w:p w14:paraId="541F326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  <w:u w:val="none"/>
              </w:rPr>
              <w:t xml:space="preserve">0.0735</w:t>
            </w:r>
            <w:r/>
          </w:p>
        </w:tc>
      </w:tr>
    </w:tbl>
    <w:p w14:paraId="6B9A0AB9">
      <w:pPr>
        <w:pBdr/>
        <w:spacing/>
        <w:ind/>
        <w:rPr>
          <w:lang w:val="pt-BR"/>
        </w:rPr>
      </w:pP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2026-03-18T21:51:17Z</dcterms:modified>
</cp:coreProperties>
</file>