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/>
      <w:hyperlink r:id="rId8" w:tooltip="https://www.ncbi.nlm.nih.gov/protein/NP_722461.1?report=fasta" w:history="1">
        <w:r>
          <w:rPr>
            <w:rStyle w:val="187"/>
          </w:rPr>
          <w:t xml:space="preserve">https://www.ncbi.nlm.nih.gov/protein/NP_722461.1?report=fasta</w:t>
        </w:r>
        <w:r>
          <w:rPr>
            <w:rStyle w:val="187"/>
          </w:rPr>
        </w:r>
        <w:r>
          <w:rPr>
            <w:rStyle w:val="187"/>
          </w:rPr>
        </w:r>
      </w:hyperlink>
      <w:r/>
    </w:p>
    <w:p w14:paraId="1442CC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NP_722461.1</w:t>
      </w:r>
      <w:r>
        <w:rPr>
          <w:highlight w:val="none"/>
        </w:rPr>
      </w:r>
      <w:r/>
    </w:p>
    <w:p w14:paraId="4FCCD30A">
      <w:pPr>
        <w:pBdr/>
        <w:spacing/>
        <w:ind/>
        <w:rPr/>
      </w:pPr>
      <w:r/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870"/>
        <w:gridCol w:w="4091"/>
        <w:gridCol w:w="449"/>
        <w:gridCol w:w="1350"/>
        <w:gridCol w:w="159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33504F7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22F4C5A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Região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2E643E1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Peptídeo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591E7D4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427C4B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Conservação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0727EC1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2B5F23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611B5F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9–11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33898F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KGR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5647D0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290984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6E7D84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pequeno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1A7B28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60B2D9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26–39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425D21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HTWTEQYKFQADSP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5844B4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11C1F5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0EF722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07EB5B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7CD65F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93–130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027ADE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5046F2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480AEF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0.958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1565E9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grande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331AD0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4AF246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140–150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5F846B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TPECPDNQRAW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2979BA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7CE8E2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0.846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5957FB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baixa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5860A3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442EAB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173–179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2C6FA3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DSYTQVC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0FF3DF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059361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0.986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21B14F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pequeno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787D5D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6EE056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228–243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067188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SHTLWSNGVLESEMII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0E4CFB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6FE0B7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0.868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56E323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baixa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1262FE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597F43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248–272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538996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GGPISQHNYRPGYFTQTAGPWHLGK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0C927D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2E851C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2DEE7F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04F142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33527E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275–275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6FD880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460B2A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2E7358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7E463B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pequeno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12F202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300536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278–282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20839F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DLCEG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7E88A4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76774D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4B08AD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pequeno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17E708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7CD19E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285–285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6800DA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2A47F6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090AA3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2129E5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pequeno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1FF7A9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029970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289–318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126211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…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2DB7D0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3497B3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0.916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78B07A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 grande/baixa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746721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70" w:type="dxa"/>
            <w:vAlign w:val="center"/>
          </w:tcPr>
          <w:p w14:paraId="5D5A8E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338–348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</w:tcPr>
          <w:p w14:paraId="7BC41F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VKEKEENLVKS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9" w:type="dxa"/>
            <w:vAlign w:val="center"/>
          </w:tcPr>
          <w:p w14:paraId="73DDFA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</w:tcPr>
          <w:p w14:paraId="3BD520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98" w:type="dxa"/>
            <w:vAlign w:val="center"/>
          </w:tcPr>
          <w:p w14:paraId="66E41E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</w:t>
            </w:r>
            <w:r/>
          </w:p>
        </w:tc>
      </w:tr>
    </w:tbl>
    <w:p w14:paraId="711E5BC7">
      <w:pPr>
        <w:pBdr/>
        <w:spacing/>
        <w:ind/>
        <w:rPr/>
      </w:pPr>
      <w:r/>
      <w:r/>
      <w:r/>
    </w:p>
    <w:p w14:paraId="0CDA8D36">
      <w:pPr>
        <w:pBdr/>
        <w:spacing/>
        <w:ind/>
        <w:rPr/>
      </w:pPr>
      <w:r/>
      <w:r/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617"/>
        <w:gridCol w:w="443"/>
        <w:gridCol w:w="4326"/>
        <w:gridCol w:w="1276"/>
        <w:gridCol w:w="17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0E86279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7" w:type="dxa"/>
            <w:vAlign w:val="center"/>
          </w:tcPr>
          <w:p w14:paraId="2A23EC9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Início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38099AD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6" w:type="dxa"/>
            <w:vAlign w:val="center"/>
          </w:tcPr>
          <w:p w14:paraId="359D7E3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Peptídeo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641C050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Tamanho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6F300CC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Conservação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50485C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7" w:type="dxa"/>
            <w:vAlign w:val="center"/>
          </w:tcPr>
          <w:p w14:paraId="7E26C62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53AE2D7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6" w:type="dxa"/>
            <w:vAlign w:val="center"/>
          </w:tcPr>
          <w:p w14:paraId="1E7D8DE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HTWTEQYKFQADSP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7D379C1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1B9B91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0.963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65FEFF3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7" w:type="dxa"/>
            <w:vAlign w:val="center"/>
          </w:tcPr>
          <w:p w14:paraId="21D532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57404A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6" w:type="dxa"/>
            <w:vAlign w:val="center"/>
          </w:tcPr>
          <w:p w14:paraId="1DA9B16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GGPISQHNYRPGYFTQTAGPWHLGK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7DD06F0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A63FE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0.978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" w:type="dxa"/>
            <w:vAlign w:val="center"/>
          </w:tcPr>
          <w:p w14:paraId="5BDCE71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17" w:type="dxa"/>
            <w:vAlign w:val="center"/>
          </w:tcPr>
          <w:p w14:paraId="4156CC0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3" w:type="dxa"/>
            <w:vAlign w:val="center"/>
          </w:tcPr>
          <w:p w14:paraId="5F83331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6" w:type="dxa"/>
            <w:vAlign w:val="center"/>
          </w:tcPr>
          <w:p w14:paraId="025F198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VKEKEENLVKS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76" w:type="dxa"/>
            <w:vAlign w:val="center"/>
          </w:tcPr>
          <w:p w14:paraId="1DE8AF5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2CAE21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0.993</w:t>
            </w:r>
            <w:r/>
          </w:p>
        </w:tc>
      </w:tr>
    </w:tbl>
    <w:p w14:paraId="7A4C3CDB">
      <w:pPr>
        <w:pBdr/>
        <w:spacing/>
        <w:ind/>
        <w:rPr/>
      </w:pPr>
      <w:r/>
      <w:r/>
      <w:r/>
    </w:p>
    <w:p w14:paraId="2764D5BF">
      <w:pPr>
        <w:pBdr/>
        <w:spacing/>
        <w:ind/>
        <w:rPr/>
      </w:pPr>
      <w:r/>
      <w:r/>
      <w:r/>
    </w:p>
    <w:p w14:paraId="5C1A99BD">
      <w:pPr>
        <w:pBdr/>
        <w:spacing/>
        <w:ind/>
        <w:rPr/>
      </w:pPr>
      <w:r>
        <w:rPr>
          <w:highlight w:val="none"/>
        </w:rPr>
      </w:r>
      <w:r>
        <w:t xml:space="preserve">Para o sorotipo DENV-1, foram preditos epítopos lineares na proteína NS1 utilizando o IEDB. Após a aplicação dos critérios de exclusão baseados no comprimento peptídico (8–25 aminoácidos) e na conservação mínima (≥0,95), três epítopos foram selecionados. E</w:t>
      </w:r>
      <w:r>
        <w:t xml:space="preserve">sses epítopos apresentaram altos níveis de conservação, variando de 0,963 a 0,993, e estão distribuídos ao longo da proteína, abrangendo regiões N-terminal, central e C-terminal, indicando possíveis alvos imunogênicos estáveis dentro do sorotipo.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ncbi.nlm.nih.gov/protein/NP_722461.1?report=fast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2026-03-18T17:47:26Z</dcterms:modified>
</cp:coreProperties>
</file>