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https://www.ncbi.nlm.nih.gov/protein/159024813</w:t>
      </w:r>
      <w:r/>
      <w:r/>
    </w:p>
    <w:p w14:paraId="29ABE27B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NP_739584.2</w:t>
      </w:r>
      <w:r>
        <w:rPr>
          <w:highlight w:val="none"/>
        </w:rPr>
      </w:r>
      <w:r>
        <w:rPr>
          <w:highlight w:val="none"/>
        </w:rPr>
      </w:r>
    </w:p>
    <w:p w14:paraId="311D6EA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1956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   Start  End  Conservation </w:t>
        <w:br/>
        <w:t xml:space="preserve">0      10   10      0.977477 </w:t>
        <w:br/>
        <w:t xml:space="preserve">1      26   39      0.999437 </w:t>
        <w:br/>
        <w:t xml:space="preserve">2      93  120      0.980570 </w:t>
        <w:br/>
        <w:t xml:space="preserve">3     122  129      0.925734 </w:t>
        <w:br/>
        <w:t xml:space="preserve">4     140  148      0.994493 </w:t>
        <w:br/>
        <w:t xml:space="preserve">5     172  179      0.945946 </w:t>
        <w:br/>
        <w:t xml:space="preserve">6     227  243      0.993371 </w:t>
        <w:br/>
        <w:t xml:space="preserve">7     248  272  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    0.946554 </w:t>
        <w:br/>
        <w:t xml:space="preserve">8     278  278      1.000000 </w:t>
        <w:br/>
        <w:t xml:space="preserve">9     280  281      0.998299 </w:t>
        <w:br/>
        <w:t xml:space="preserve">10    290  318      0.967382 </w:t>
        <w:br/>
        <w:t xml:space="preserve">11    324  324      1.000000 </w:t>
        <w:br/>
        <w:t xml:space="preserve">12    338  347      0.996619</w:t>
        <w:br/>
        <w:t xml:space="preserve">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F6110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550"/>
        <w:gridCol w:w="457"/>
        <w:gridCol w:w="4987"/>
        <w:gridCol w:w="17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79CFBD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5BBFF1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295B10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0B5F6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72BE72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Length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282211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14399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A1AC3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377D150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D27BB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1620D3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A374F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2DAFBA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066607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HTWTEQYKFQPESP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B9765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C991C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5A25F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365BB2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C1DDFA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IKGIMQAGKRSLRPQPTELKYSWKTWGK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443B2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49A51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0BFA4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64214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379305C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KMLSTESH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050B2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09AC45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5B6E1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A5FE0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354402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TAECPNTNR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5D5EC1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C9290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0B293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95EB9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29FB592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KEKQDVFC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ABB17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234CE0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F3896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191912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93F67E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KSHTLWSNGVLESEMII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7B023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B159A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675E5C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1D6BA4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A2ED70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AGPVSQHNYRPGYHTQITGPWHLGK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7AE35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27CDD0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40A724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150EB5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0EA5AC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2479A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6F4DAE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21827A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B96F0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77203F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5A567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0361C4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0AB0B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6129C1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3D14DCA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DCGNRGPSLRTTTASGKLITEWCCRSCTL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C9669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4ED44C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2F4BE8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07186E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7E728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FB6B6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418680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6B644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DA9C1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5C2E61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LKEKEENLVN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CBCE5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</w:tr>
    </w:tbl>
    <w:p w14:paraId="7B2E0FC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66"/>
        <w:gridCol w:w="160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680405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Motivo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1A0475E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Epítopo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0D765C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5FAC86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 (10–10)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356E43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longo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648E5A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93–120 (28 aa)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5707D4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baixa conservação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4CEE9C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122–129 (0.925)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01FBD2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baixo limite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67774D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172–179 (0.945)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4DF833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6FE148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 (278)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608DE0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50E6ED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CD (280–281)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0D3CA5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longo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4D6591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290–318 (29 aa)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384178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73BA86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(324)</w:t>
            </w:r>
            <w:r/>
          </w:p>
        </w:tc>
      </w:tr>
    </w:tbl>
    <w:p w14:paraId="6F6DE7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49D6FB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Epítopos selecionados (DENV2)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3"/>
        <w:gridCol w:w="520"/>
        <w:gridCol w:w="427"/>
        <w:gridCol w:w="2582"/>
        <w:gridCol w:w="734"/>
        <w:gridCol w:w="13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2BD69C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F73792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79DBDE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12C584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0C6850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Length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7F1B9FD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Conservation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3F5ED1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1EB250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A3E26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5FF18D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HTWTEQYKFQPESP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48AE98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0BB1C6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08B03D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4AAB0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31C38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1EDCC3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TAECPNTNR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0D70FA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1A8DCF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3B8369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A177C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3EBF2B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09EE7A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KSHTLWSNGVLESEMII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DADF5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259D94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6CE92F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3B7148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64F945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4A88D4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LKEKEENLVN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7D0CD7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522E7B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0.997</w:t>
            </w:r>
            <w:r/>
          </w:p>
        </w:tc>
      </w:tr>
    </w:tbl>
    <w:p w14:paraId="09727C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7EE6F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t xml:space="preserve">Para o sorotipo DENV2, foram identificados 13 epítopos preditos, dos quais 4 atenderam aos critérios de seleção (comprimento entre 8–25 aminoácidos e conservação ≥ 0,95). Os epítopos selecionados apresentaram altos níveis de conservação (≥ 0,993), destacan</w:t>
      </w:r>
      <w:r>
        <w:t xml:space="preserve">do-se as regiões 26–39, 140–148, 227–243 e 338–347 da proteína NS1.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8E2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2026-03-18T18:50:13Z</dcterms:modified>
</cp:coreProperties>
</file>