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hyperlink r:id="rId8" w:tooltip="https://www.ncbi.nlm.nih.gov/protein/164654855" w:history="1">
        <w:r>
          <w:rPr>
            <w:rStyle w:val="187"/>
          </w:rPr>
          <w:t xml:space="preserve">https://www.ncbi.nlm.nih.gov/protein/164654855</w:t>
        </w:r>
        <w:r>
          <w:rPr>
            <w:rStyle w:val="187"/>
          </w:rPr>
        </w:r>
        <w:r>
          <w:rPr>
            <w:rStyle w:val="187"/>
          </w:rPr>
        </w:r>
      </w:hyperlink>
      <w:r/>
    </w:p>
    <w:p w14:paraId="587C5879">
      <w:pPr>
        <w:pBdr/>
        <w:spacing/>
        <w:ind/>
        <w:rPr/>
      </w:pPr>
      <w:r/>
      <w:r/>
      <w:r/>
    </w:p>
    <w:p w14:paraId="01980273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YP_001531169.2</w:t>
      </w:r>
      <w:r>
        <w:rPr>
          <w:highlight w:val="none"/>
        </w:rPr>
      </w:r>
      <w:r/>
    </w:p>
    <w:p w14:paraId="64C75B78">
      <w:pPr>
        <w:pBdr/>
        <w:spacing/>
        <w:ind/>
        <w:rPr/>
      </w:pPr>
      <w:r/>
      <w:r/>
      <w:r/>
    </w:p>
    <w:p w14:paraId="498FDA29">
      <w:pPr>
        <w:pBdr/>
        <w:spacing/>
        <w:ind/>
        <w:rPr/>
      </w:pPr>
      <w:r>
        <w:rPr>
          <w:lang w:val="pt-BR"/>
        </w:rPr>
        <w:t xml:space="preserve">Resultado Direto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3"/>
        <w:gridCol w:w="520"/>
        <w:gridCol w:w="427"/>
        <w:gridCol w:w="5930"/>
        <w:gridCol w:w="73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57EC5B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4B8771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5ED80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20D056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D2F7B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18C9F2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AA295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20C32C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6A2603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HTWTEQYKFQADSPK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210F96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275C7D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009829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6734FC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772E064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5AB5D3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7A6906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E3067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7AB4DA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5E983EF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TLGVLEQGKRTLTPQPMELKYSWKTWGKAKIVTAETQ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61EAC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65648D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01F34A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22BEA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1A5164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PECPSASRAW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AB7D9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45AD79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088384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621E5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194E2A7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EVYTQLC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B4CD8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56454B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6E405E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2FBCB5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01F1F7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SHTLWTNGVLESDMI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5F1E72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3B506A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60AD0B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2901F9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333A603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GPISQHNYRPGYHTQTAGPWHLGKLELDFNYCEG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102D92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78FDE4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343D5F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F636D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0531E3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SCGTRGPSLRTTTVSGKLIHEWCCRSCTL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F3511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" w:type="dxa"/>
            <w:vAlign w:val="center"/>
          </w:tcPr>
          <w:p w14:paraId="3B3AEB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4AC434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31BBB7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0" w:type="dxa"/>
            <w:vAlign w:val="center"/>
          </w:tcPr>
          <w:p w14:paraId="74783CA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PISEKEENMVKS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0F847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</w:tr>
    </w:tbl>
    <w:p w14:paraId="70E5BA1B">
      <w:pPr>
        <w:pBdr/>
        <w:spacing/>
        <w:ind/>
        <w:rPr/>
      </w:pPr>
      <w:r/>
      <w:r/>
      <w:r/>
    </w:p>
    <w:p w14:paraId="5A3FF39C">
      <w:pPr>
        <w:pBdr/>
        <w:spacing/>
        <w:ind/>
        <w:rPr/>
      </w:pP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"/>
        <w:gridCol w:w="840"/>
        <w:gridCol w:w="2453"/>
        <w:gridCol w:w="458"/>
        <w:gridCol w:w="1320"/>
        <w:gridCol w:w="11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16D50C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0CBA2D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Região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44F78B4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Peptídeo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2C9EE5A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1530F7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6D5DED9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0DD775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2A7713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26–40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3B5C2D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HTWTEQYKFQADSPK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54AE6F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61FD80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67CE1E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49F8F5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339EBD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80–82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59E50D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590C9F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63A4DA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0E0F18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0040A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20223C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93–129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25A195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300815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66463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5E560A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grande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4D6174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365C7C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141–150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753320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PECPSASRAW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48D004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5CE127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55C795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76F8D96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7862A4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173–179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34CD24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EVYTQLC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67CB34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4F1EF0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4FE2A2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77239D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3A94B5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228–242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482363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SHTLWTNGVLESDMI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6283DB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23F61D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2D76AD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41117F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108AD1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249–282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51F4F0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18AF46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4A8212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03CEDE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grande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20EC76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3111C4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290–318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321DA3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16AA1D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12F995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49B6C1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grande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7332B3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0" w:type="dxa"/>
            <w:vAlign w:val="center"/>
          </w:tcPr>
          <w:p w14:paraId="2BFA6C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337–348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6B44FB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PISEKEENMVKS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" w:type="dxa"/>
            <w:vAlign w:val="center"/>
          </w:tcPr>
          <w:p w14:paraId="3DE828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2E308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2" w:type="dxa"/>
            <w:vAlign w:val="center"/>
          </w:tcPr>
          <w:p w14:paraId="25D9AD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</w:tbl>
    <w:p w14:paraId="0EAEA2C2">
      <w:pPr>
        <w:pBdr/>
        <w:spacing/>
        <w:ind/>
        <w:rPr/>
      </w:pPr>
      <w:r/>
      <w:r/>
      <w:r/>
    </w:p>
    <w:p w14:paraId="4E32DFCA">
      <w:pPr>
        <w:pBdr/>
        <w:spacing/>
        <w:ind/>
        <w:rPr/>
      </w:pPr>
      <w:r/>
      <w:r/>
      <w:r>
        <w:t xml:space="preserve">Tabela final – Epítopos conservados (DENV-3 / NS1)</w:t>
      </w:r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"/>
        <w:gridCol w:w="587"/>
        <w:gridCol w:w="413"/>
        <w:gridCol w:w="2453"/>
        <w:gridCol w:w="1425"/>
        <w:gridCol w:w="132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418E47A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122A7CD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Início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" w:type="dxa"/>
            <w:vAlign w:val="center"/>
          </w:tcPr>
          <w:p w14:paraId="38BFEB8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6F30D02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Peptídeo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</w:tcPr>
          <w:p w14:paraId="3AB23E3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Tamanho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10ABC9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64C274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7F3C56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" w:type="dxa"/>
            <w:vAlign w:val="center"/>
          </w:tcPr>
          <w:p w14:paraId="400073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108F84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HTWTEQYKFQADSPK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</w:tcPr>
          <w:p w14:paraId="74071B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94C75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736BCC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6EF340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" w:type="dxa"/>
            <w:vAlign w:val="center"/>
          </w:tcPr>
          <w:p w14:paraId="4413EF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556936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PECPSASRAW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</w:tcPr>
          <w:p w14:paraId="07541F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02ED50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6693AC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2BFC71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" w:type="dxa"/>
            <w:vAlign w:val="center"/>
          </w:tcPr>
          <w:p w14:paraId="4B747C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62CEE3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SHTLWTNGVLESDMI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</w:tcPr>
          <w:p w14:paraId="09AEC2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7E298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4ABD11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7" w:type="dxa"/>
            <w:vAlign w:val="center"/>
          </w:tcPr>
          <w:p w14:paraId="1DDDF2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3" w:type="dxa"/>
            <w:vAlign w:val="center"/>
          </w:tcPr>
          <w:p w14:paraId="79F963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3" w:type="dxa"/>
            <w:vAlign w:val="center"/>
          </w:tcPr>
          <w:p w14:paraId="413056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PISEKEENMVKS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5" w:type="dxa"/>
            <w:vAlign w:val="center"/>
          </w:tcPr>
          <w:p w14:paraId="395FDD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0" w:type="dxa"/>
            <w:vAlign w:val="center"/>
          </w:tcPr>
          <w:p w14:paraId="0DB679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0.998</w:t>
            </w:r>
            <w:r/>
          </w:p>
        </w:tc>
      </w:tr>
    </w:tbl>
    <w:p w14:paraId="403DBC9D">
      <w:pPr>
        <w:pBdr/>
        <w:spacing/>
        <w:ind/>
        <w:rPr/>
      </w:pPr>
      <w:r/>
      <w:r/>
      <w:r/>
    </w:p>
    <w:p w14:paraId="4137DCF7">
      <w:pPr>
        <w:pBdr/>
        <w:spacing/>
        <w:ind/>
        <w:rPr/>
      </w:pPr>
      <w:r/>
      <w:r>
        <w:t xml:space="preserve">Para o sorotipo DENV-3, foram preditos epítopos lineares na proteína NS1 e posteriormente filtrados com base no comprimento peptídico (8–25 aminoácidos) e na conservação mínima (≥0,95). Foram selecionados quatro epítopos que apresentaram alta conservação, </w:t>
      </w:r>
      <w:r>
        <w:t xml:space="preserve">variando de 0,968 a 1,000. Esses epítopos estão distribuídos ao longo da proteína, incluindo regiões N-terminal, intermediária e C-terminal, indicando múltiplos potenciais alvos imunogênicos estáveis dentro do sorotipo.</w:t>
      </w:r>
      <w:r/>
      <w:r/>
    </w:p>
    <w:p w14:paraId="19E9B550">
      <w:pPr>
        <w:pBdr/>
        <w:spacing/>
        <w:ind/>
        <w:rPr/>
      </w:pPr>
      <w:r/>
      <w:r/>
      <w:r/>
    </w:p>
    <w:p w14:paraId="2138DB0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ncbi.nlm.nih.gov/protein/16465485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2026-03-18T17:55:55Z</dcterms:modified>
</cp:coreProperties>
</file>