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1E" w:rsidRPr="0084701E" w:rsidRDefault="0084701E" w:rsidP="0084701E">
      <w:pPr>
        <w:jc w:val="center"/>
        <w:rPr>
          <w:rFonts w:cs="Times New Roman"/>
          <w:b/>
          <w:i w:val="0"/>
          <w:sz w:val="28"/>
          <w:szCs w:val="28"/>
          <w:lang w:val="ru-RU"/>
        </w:rPr>
      </w:pPr>
      <w:r w:rsidRPr="0084701E">
        <w:rPr>
          <w:rFonts w:cs="Times New Roman"/>
          <w:b/>
          <w:i w:val="0"/>
          <w:sz w:val="28"/>
          <w:szCs w:val="28"/>
          <w:lang w:val="ru-RU"/>
        </w:rPr>
        <w:t>Биномиальный закон распределения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 xml:space="preserve">Дискретная </w:t>
      </w:r>
      <w:proofErr w:type="spellStart"/>
      <w:proofErr w:type="gramStart"/>
      <w:r w:rsidRPr="0084701E">
        <w:rPr>
          <w:rFonts w:cs="Times New Roman"/>
          <w:i w:val="0"/>
          <w:sz w:val="28"/>
          <w:szCs w:val="28"/>
          <w:lang w:val="ru-RU"/>
        </w:rPr>
        <w:t>СВ</w:t>
      </w:r>
      <w:proofErr w:type="spellEnd"/>
      <w:proofErr w:type="gramEnd"/>
      <w:r w:rsidRPr="0084701E">
        <w:rPr>
          <w:rFonts w:cs="Times New Roman"/>
          <w:i w:val="0"/>
          <w:sz w:val="28"/>
          <w:szCs w:val="28"/>
          <w:lang w:val="ru-RU"/>
        </w:rPr>
        <w:t xml:space="preserve"> Х имеет биномиальное распределение, если она принимает значения 0, 1, 2, 3, …, </w:t>
      </w:r>
      <w:r w:rsidRPr="0084701E">
        <w:rPr>
          <w:rFonts w:cs="Times New Roman"/>
          <w:i w:val="0"/>
          <w:sz w:val="28"/>
          <w:szCs w:val="28"/>
        </w:rPr>
        <w:t>n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с вероятностями: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</w:rPr>
      </w:pPr>
      <w:r w:rsidRPr="0084701E">
        <w:rPr>
          <w:rFonts w:cs="Times New Roman"/>
          <w:i w:val="0"/>
          <w:position w:val="-12"/>
          <w:sz w:val="28"/>
          <w:szCs w:val="28"/>
        </w:rPr>
        <w:object w:dxaOrig="31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21.75pt" o:ole="">
            <v:imagedata r:id="rId4" o:title=""/>
          </v:shape>
          <o:OLEObject Type="Embed" ProgID="Equation.3" ShapeID="_x0000_i1025" DrawAspect="Content" ObjectID="_1708122120" r:id="rId5"/>
        </w:objec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 xml:space="preserve">где 0 &lt; </w:t>
      </w:r>
      <w:r w:rsidRPr="0084701E">
        <w:rPr>
          <w:rFonts w:cs="Times New Roman"/>
          <w:i w:val="0"/>
          <w:sz w:val="28"/>
          <w:szCs w:val="28"/>
        </w:rPr>
        <w:t>p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&lt; 1, </w:t>
      </w:r>
      <w:r w:rsidRPr="0084701E">
        <w:rPr>
          <w:rFonts w:cs="Times New Roman"/>
          <w:i w:val="0"/>
          <w:sz w:val="28"/>
          <w:szCs w:val="28"/>
        </w:rPr>
        <w:t>q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= 1 - </w:t>
      </w:r>
      <w:r w:rsidRPr="0084701E">
        <w:rPr>
          <w:rFonts w:cs="Times New Roman"/>
          <w:i w:val="0"/>
          <w:sz w:val="28"/>
          <w:szCs w:val="28"/>
        </w:rPr>
        <w:t>p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, </w:t>
      </w:r>
      <w:r w:rsidRPr="0084701E">
        <w:rPr>
          <w:rFonts w:cs="Times New Roman"/>
          <w:i w:val="0"/>
          <w:sz w:val="28"/>
          <w:szCs w:val="28"/>
        </w:rPr>
        <w:t>m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= 0, 1, 2,…, </w:t>
      </w:r>
      <w:r w:rsidRPr="0084701E">
        <w:rPr>
          <w:rFonts w:cs="Times New Roman"/>
          <w:i w:val="0"/>
          <w:sz w:val="28"/>
          <w:szCs w:val="28"/>
        </w:rPr>
        <w:t>n</w:t>
      </w:r>
      <w:r w:rsidRPr="0084701E">
        <w:rPr>
          <w:rFonts w:cs="Times New Roman"/>
          <w:i w:val="0"/>
          <w:sz w:val="28"/>
          <w:szCs w:val="28"/>
          <w:lang w:val="ru-RU"/>
        </w:rPr>
        <w:t>.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proofErr w:type="spellStart"/>
      <w:proofErr w:type="gramStart"/>
      <w:r w:rsidRPr="0084701E">
        <w:rPr>
          <w:rFonts w:cs="Times New Roman"/>
          <w:i w:val="0"/>
          <w:sz w:val="28"/>
          <w:szCs w:val="28"/>
          <w:lang w:val="ru-RU"/>
        </w:rPr>
        <w:t>СВ</w:t>
      </w:r>
      <w:proofErr w:type="spellEnd"/>
      <w:proofErr w:type="gramEnd"/>
      <w:r w:rsidRPr="0084701E">
        <w:rPr>
          <w:rFonts w:cs="Times New Roman"/>
          <w:i w:val="0"/>
          <w:sz w:val="28"/>
          <w:szCs w:val="28"/>
          <w:lang w:val="ru-RU"/>
        </w:rPr>
        <w:t xml:space="preserve"> Х, распределённая по биномиальному закону, является числом успехов с вероятностью </w:t>
      </w:r>
      <w:r w:rsidRPr="0084701E">
        <w:rPr>
          <w:rFonts w:cs="Times New Roman"/>
          <w:i w:val="0"/>
          <w:sz w:val="28"/>
          <w:szCs w:val="28"/>
        </w:rPr>
        <w:t>p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в схеме Бернулли проведения </w:t>
      </w:r>
      <w:r w:rsidRPr="0084701E">
        <w:rPr>
          <w:rFonts w:cs="Times New Roman"/>
          <w:i w:val="0"/>
          <w:sz w:val="28"/>
          <w:szCs w:val="28"/>
        </w:rPr>
        <w:t>n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независимых опытов.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ab/>
        <w:t xml:space="preserve">Ряд распределения </w:t>
      </w:r>
      <w:proofErr w:type="spellStart"/>
      <w:r w:rsidRPr="0084701E">
        <w:rPr>
          <w:rFonts w:cs="Times New Roman"/>
          <w:i w:val="0"/>
          <w:sz w:val="28"/>
          <w:szCs w:val="28"/>
          <w:lang w:val="ru-RU"/>
        </w:rPr>
        <w:t>д</w:t>
      </w:r>
      <w:proofErr w:type="gramStart"/>
      <w:r w:rsidRPr="0084701E">
        <w:rPr>
          <w:rFonts w:cs="Times New Roman"/>
          <w:i w:val="0"/>
          <w:sz w:val="28"/>
          <w:szCs w:val="28"/>
          <w:lang w:val="ru-RU"/>
        </w:rPr>
        <w:t>.С</w:t>
      </w:r>
      <w:proofErr w:type="gramEnd"/>
      <w:r w:rsidRPr="0084701E">
        <w:rPr>
          <w:rFonts w:cs="Times New Roman"/>
          <w:i w:val="0"/>
          <w:sz w:val="28"/>
          <w:szCs w:val="28"/>
          <w:lang w:val="ru-RU"/>
        </w:rPr>
        <w:t>В</w:t>
      </w:r>
      <w:proofErr w:type="spellEnd"/>
      <w:r w:rsidRPr="0084701E">
        <w:rPr>
          <w:rFonts w:cs="Times New Roman"/>
          <w:i w:val="0"/>
          <w:sz w:val="28"/>
          <w:szCs w:val="28"/>
          <w:lang w:val="ru-RU"/>
        </w:rPr>
        <w:t xml:space="preserve"> Х, имеющей биномиальное распределение, имеет вид:</w:t>
      </w:r>
    </w:p>
    <w:tbl>
      <w:tblPr>
        <w:tblStyle w:val="af4"/>
        <w:tblW w:w="0" w:type="auto"/>
        <w:tblLook w:val="01E0"/>
      </w:tblPr>
      <w:tblGrid>
        <w:gridCol w:w="1732"/>
        <w:gridCol w:w="917"/>
        <w:gridCol w:w="1311"/>
        <w:gridCol w:w="1372"/>
        <w:gridCol w:w="936"/>
        <w:gridCol w:w="1401"/>
        <w:gridCol w:w="936"/>
        <w:gridCol w:w="966"/>
      </w:tblGrid>
      <w:tr w:rsidR="0084701E" w:rsidRPr="0084701E" w:rsidTr="002B549D"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X=k</w:t>
            </w:r>
          </w:p>
        </w:tc>
        <w:tc>
          <w:tcPr>
            <w:tcW w:w="1196" w:type="dxa"/>
          </w:tcPr>
          <w:p w:rsidR="0084701E" w:rsidRPr="0084701E" w:rsidRDefault="0084701E" w:rsidP="002B549D">
            <w:pPr>
              <w:jc w:val="both"/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k</w:t>
            </w:r>
          </w:p>
        </w:tc>
        <w:tc>
          <w:tcPr>
            <w:tcW w:w="1197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n</w:t>
            </w:r>
          </w:p>
        </w:tc>
      </w:tr>
      <w:tr w:rsidR="0084701E" w:rsidRPr="0084701E" w:rsidTr="002B549D"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12"/>
                <w:sz w:val="28"/>
                <w:szCs w:val="28"/>
                <w:lang w:val="en-US" w:eastAsia="en-US" w:bidi="en-US"/>
              </w:rPr>
              <w:object w:dxaOrig="1520" w:dyaOrig="360">
                <v:shape id="_x0000_i1026" type="#_x0000_t75" style="width:75.75pt;height:18pt" o:ole="">
                  <v:imagedata r:id="rId6" o:title=""/>
                </v:shape>
                <o:OLEObject Type="Embed" ProgID="Equation.3" ShapeID="_x0000_i1026" DrawAspect="Content" ObjectID="_1708122121" r:id="rId7"/>
              </w:object>
            </w:r>
          </w:p>
        </w:tc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proofErr w:type="spellStart"/>
            <w:r w:rsidRPr="0084701E">
              <w:rPr>
                <w:i w:val="0"/>
                <w:sz w:val="28"/>
                <w:szCs w:val="28"/>
                <w:lang w:val="en-US"/>
              </w:rPr>
              <w:t>q</w:t>
            </w:r>
            <w:r w:rsidRPr="0084701E">
              <w:rPr>
                <w:i w:val="0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12"/>
                <w:sz w:val="28"/>
                <w:szCs w:val="28"/>
                <w:lang w:val="en-US" w:eastAsia="en-US" w:bidi="en-US"/>
              </w:rPr>
              <w:object w:dxaOrig="1100" w:dyaOrig="440">
                <v:shape id="_x0000_i1027" type="#_x0000_t75" style="width:54.75pt;height:21.75pt" o:ole="">
                  <v:imagedata r:id="rId8" o:title=""/>
                </v:shape>
                <o:OLEObject Type="Embed" ProgID="Equation.3" ShapeID="_x0000_i1027" DrawAspect="Content" ObjectID="_1708122122" r:id="rId9"/>
              </w:object>
            </w:r>
          </w:p>
        </w:tc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12"/>
                <w:sz w:val="28"/>
                <w:szCs w:val="28"/>
                <w:lang w:val="en-US" w:eastAsia="en-US" w:bidi="en-US"/>
              </w:rPr>
              <w:object w:dxaOrig="1160" w:dyaOrig="440">
                <v:shape id="_x0000_i1028" type="#_x0000_t75" style="width:57.75pt;height:21.75pt" o:ole="">
                  <v:imagedata r:id="rId10" o:title=""/>
                </v:shape>
                <o:OLEObject Type="Embed" ProgID="Equation.3" ShapeID="_x0000_i1028" DrawAspect="Content" ObjectID="_1708122123" r:id="rId11"/>
              </w:object>
            </w:r>
          </w:p>
        </w:tc>
        <w:tc>
          <w:tcPr>
            <w:tcW w:w="119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12"/>
                <w:sz w:val="28"/>
                <w:szCs w:val="28"/>
                <w:lang w:val="en-US" w:eastAsia="en-US" w:bidi="en-US"/>
              </w:rPr>
              <w:object w:dxaOrig="1180" w:dyaOrig="440">
                <v:shape id="_x0000_i1029" type="#_x0000_t75" style="width:59.25pt;height:21.75pt" o:ole="">
                  <v:imagedata r:id="rId12" o:title=""/>
                </v:shape>
                <o:OLEObject Type="Embed" ProgID="Equation.3" ShapeID="_x0000_i1029" DrawAspect="Content" ObjectID="_1708122124" r:id="rId13"/>
              </w:object>
            </w:r>
          </w:p>
        </w:tc>
        <w:tc>
          <w:tcPr>
            <w:tcW w:w="1197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10"/>
                <w:sz w:val="28"/>
                <w:szCs w:val="28"/>
                <w:lang w:val="en-US" w:eastAsia="en-US" w:bidi="en-US"/>
              </w:rPr>
              <w:object w:dxaOrig="360" w:dyaOrig="420">
                <v:shape id="_x0000_i1030" type="#_x0000_t75" style="width:18pt;height:21pt" o:ole="">
                  <v:imagedata r:id="rId14" o:title=""/>
                </v:shape>
                <o:OLEObject Type="Embed" ProgID="Equation.3" ShapeID="_x0000_i1030" DrawAspect="Content" ObjectID="_1708122125" r:id="rId15"/>
              </w:object>
            </w:r>
          </w:p>
        </w:tc>
      </w:tr>
    </w:tbl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 xml:space="preserve">Контроль: </w:t>
      </w:r>
      <w:r w:rsidRPr="0084701E">
        <w:rPr>
          <w:rFonts w:cs="Times New Roman"/>
          <w:i w:val="0"/>
          <w:position w:val="-32"/>
          <w:sz w:val="28"/>
          <w:szCs w:val="28"/>
        </w:rPr>
        <w:object w:dxaOrig="2100" w:dyaOrig="760">
          <v:shape id="_x0000_i1031" type="#_x0000_t75" style="width:105pt;height:38.25pt" o:ole="">
            <v:imagedata r:id="rId16" o:title=""/>
          </v:shape>
          <o:OLEObject Type="Embed" ProgID="Equation.3" ShapeID="_x0000_i1031" DrawAspect="Content" ObjectID="_1708122126" r:id="rId17"/>
        </w:object>
      </w:r>
      <w:r w:rsidRPr="0084701E">
        <w:rPr>
          <w:rFonts w:cs="Times New Roman"/>
          <w:i w:val="0"/>
          <w:sz w:val="28"/>
          <w:szCs w:val="28"/>
          <w:lang w:val="ru-RU"/>
        </w:rPr>
        <w:t>.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b/>
          <w:i w:val="0"/>
          <w:sz w:val="28"/>
          <w:szCs w:val="28"/>
          <w:lang w:val="ru-RU"/>
        </w:rPr>
        <w:t xml:space="preserve">Функция распределения </w:t>
      </w:r>
      <w:proofErr w:type="spellStart"/>
      <w:r w:rsidRPr="0084701E">
        <w:rPr>
          <w:rFonts w:cs="Times New Roman"/>
          <w:b/>
          <w:i w:val="0"/>
          <w:sz w:val="28"/>
          <w:szCs w:val="28"/>
          <w:lang w:val="ru-RU"/>
        </w:rPr>
        <w:t>ДСВ</w:t>
      </w:r>
      <w:proofErr w:type="spellEnd"/>
      <w:r w:rsidRPr="0084701E">
        <w:rPr>
          <w:rFonts w:cs="Times New Roman"/>
          <w:i w:val="0"/>
          <w:sz w:val="28"/>
          <w:szCs w:val="28"/>
          <w:lang w:val="ru-RU"/>
        </w:rPr>
        <w:t xml:space="preserve">, </w:t>
      </w:r>
      <w:proofErr w:type="gramStart"/>
      <w:r w:rsidRPr="0084701E">
        <w:rPr>
          <w:rFonts w:cs="Times New Roman"/>
          <w:i w:val="0"/>
          <w:sz w:val="28"/>
          <w:szCs w:val="28"/>
          <w:lang w:val="ru-RU"/>
        </w:rPr>
        <w:t>распределённой</w:t>
      </w:r>
      <w:proofErr w:type="gramEnd"/>
      <w:r w:rsidRPr="0084701E">
        <w:rPr>
          <w:rFonts w:cs="Times New Roman"/>
          <w:i w:val="0"/>
          <w:sz w:val="28"/>
          <w:szCs w:val="28"/>
          <w:lang w:val="ru-RU"/>
        </w:rPr>
        <w:t xml:space="preserve"> по биномиальному закону, имеет вид: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</w:rPr>
      </w:pPr>
      <w:r w:rsidRPr="0084701E">
        <w:rPr>
          <w:rFonts w:cs="Times New Roman"/>
          <w:i w:val="0"/>
          <w:position w:val="-70"/>
          <w:sz w:val="28"/>
          <w:szCs w:val="28"/>
        </w:rPr>
        <w:object w:dxaOrig="4000" w:dyaOrig="1520">
          <v:shape id="_x0000_i1032" type="#_x0000_t75" style="width:200.25pt;height:75.75pt" o:ole="">
            <v:imagedata r:id="rId18" o:title=""/>
          </v:shape>
          <o:OLEObject Type="Embed" ProgID="Equation.3" ShapeID="_x0000_i1032" DrawAspect="Content" ObjectID="_1708122127" r:id="rId19"/>
        </w:objec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>Числовые характеристики: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 xml:space="preserve">Математическое ожидание: </w:t>
      </w:r>
      <w:r w:rsidRPr="0084701E">
        <w:rPr>
          <w:rFonts w:cs="Times New Roman"/>
          <w:i w:val="0"/>
          <w:position w:val="-10"/>
          <w:sz w:val="28"/>
          <w:szCs w:val="28"/>
        </w:rPr>
        <w:object w:dxaOrig="1340" w:dyaOrig="340">
          <v:shape id="_x0000_i1033" type="#_x0000_t75" style="width:66.75pt;height:17.25pt" o:ole="">
            <v:imagedata r:id="rId20" o:title=""/>
          </v:shape>
          <o:OLEObject Type="Embed" ProgID="Equation.3" ShapeID="_x0000_i1033" DrawAspect="Content" ObjectID="_1708122128" r:id="rId21"/>
        </w:objec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 xml:space="preserve">Дисперсия:    </w:t>
      </w:r>
      <w:r w:rsidRPr="0084701E">
        <w:rPr>
          <w:rFonts w:cs="Times New Roman"/>
          <w:i w:val="0"/>
          <w:position w:val="-10"/>
          <w:sz w:val="28"/>
          <w:szCs w:val="28"/>
        </w:rPr>
        <w:object w:dxaOrig="1540" w:dyaOrig="340">
          <v:shape id="_x0000_i1034" type="#_x0000_t75" style="width:77.25pt;height:17.25pt" o:ole="">
            <v:imagedata r:id="rId22" o:title=""/>
          </v:shape>
          <o:OLEObject Type="Embed" ProgID="Equation.3" ShapeID="_x0000_i1034" DrawAspect="Content" ObjectID="_1708122129" r:id="rId23"/>
        </w:objec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.       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 xml:space="preserve">Если число испытаний </w:t>
      </w:r>
      <w:r w:rsidRPr="0084701E">
        <w:rPr>
          <w:rFonts w:cs="Times New Roman"/>
          <w:i w:val="0"/>
          <w:sz w:val="28"/>
          <w:szCs w:val="28"/>
        </w:rPr>
        <w:t>n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очень велико, а вероятность </w:t>
      </w:r>
      <w:r w:rsidRPr="0084701E">
        <w:rPr>
          <w:rFonts w:cs="Times New Roman"/>
          <w:i w:val="0"/>
          <w:sz w:val="28"/>
          <w:szCs w:val="28"/>
        </w:rPr>
        <w:t>p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появления события</w:t>
      </w:r>
      <w:proofErr w:type="gramStart"/>
      <w:r w:rsidRPr="0084701E">
        <w:rPr>
          <w:rFonts w:cs="Times New Roman"/>
          <w:i w:val="0"/>
          <w:sz w:val="28"/>
          <w:szCs w:val="28"/>
          <w:lang w:val="ru-RU"/>
        </w:rPr>
        <w:t xml:space="preserve"> А</w:t>
      </w:r>
      <w:proofErr w:type="gramEnd"/>
      <w:r w:rsidRPr="0084701E">
        <w:rPr>
          <w:rFonts w:cs="Times New Roman"/>
          <w:i w:val="0"/>
          <w:sz w:val="28"/>
          <w:szCs w:val="28"/>
          <w:lang w:val="ru-RU"/>
        </w:rPr>
        <w:t xml:space="preserve"> в каждом испытании очень мала, то для вычисления </w:t>
      </w:r>
      <w:r w:rsidRPr="0084701E">
        <w:rPr>
          <w:rFonts w:cs="Times New Roman"/>
          <w:i w:val="0"/>
          <w:position w:val="-10"/>
          <w:sz w:val="28"/>
          <w:szCs w:val="28"/>
        </w:rPr>
        <w:object w:dxaOrig="960" w:dyaOrig="340">
          <v:shape id="_x0000_i1035" type="#_x0000_t75" style="width:48pt;height:17.25pt" o:ole="">
            <v:imagedata r:id="rId24" o:title=""/>
          </v:shape>
          <o:OLEObject Type="Embed" ProgID="Equation.3" ShapeID="_x0000_i1035" DrawAspect="Content" ObjectID="_1708122130" r:id="rId25"/>
        </w:objec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используют формулу Пуассона: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position w:val="-30"/>
          <w:sz w:val="28"/>
          <w:szCs w:val="28"/>
        </w:rPr>
        <w:object w:dxaOrig="3960" w:dyaOrig="760">
          <v:shape id="_x0000_i1036" type="#_x0000_t75" style="width:198pt;height:38.25pt" o:ole="">
            <v:imagedata r:id="rId26" o:title=""/>
          </v:shape>
          <o:OLEObject Type="Embed" ProgID="Equation.3" ShapeID="_x0000_i1036" DrawAspect="Content" ObjectID="_1708122131" r:id="rId27"/>
        </w:objec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  </w: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 xml:space="preserve">При этом говорят, что </w:t>
      </w:r>
      <w:proofErr w:type="spellStart"/>
      <w:proofErr w:type="gramStart"/>
      <w:r w:rsidRPr="0084701E">
        <w:rPr>
          <w:rFonts w:cs="Times New Roman"/>
          <w:i w:val="0"/>
          <w:sz w:val="28"/>
          <w:szCs w:val="28"/>
          <w:lang w:val="ru-RU"/>
        </w:rPr>
        <w:t>СВ</w:t>
      </w:r>
      <w:proofErr w:type="spellEnd"/>
      <w:proofErr w:type="gramEnd"/>
      <w:r w:rsidRPr="0084701E">
        <w:rPr>
          <w:rFonts w:cs="Times New Roman"/>
          <w:i w:val="0"/>
          <w:sz w:val="28"/>
          <w:szCs w:val="28"/>
          <w:lang w:val="ru-RU"/>
        </w:rPr>
        <w:t xml:space="preserve"> Х распределена по </w:t>
      </w:r>
      <w:r w:rsidRPr="0084701E">
        <w:rPr>
          <w:rFonts w:cs="Times New Roman"/>
          <w:b/>
          <w:i w:val="0"/>
          <w:sz w:val="28"/>
          <w:szCs w:val="28"/>
          <w:lang w:val="ru-RU"/>
        </w:rPr>
        <w:t>закону Пуассона</w:t>
      </w:r>
      <w:r w:rsidRPr="0084701E">
        <w:rPr>
          <w:rFonts w:cs="Times New Roman"/>
          <w:i w:val="0"/>
          <w:sz w:val="28"/>
          <w:szCs w:val="28"/>
          <w:lang w:val="ru-RU"/>
        </w:rPr>
        <w:t xml:space="preserve">. </w:t>
      </w:r>
      <w:proofErr w:type="spellStart"/>
      <w:proofErr w:type="gramStart"/>
      <w:r w:rsidRPr="0084701E">
        <w:rPr>
          <w:rFonts w:cs="Times New Roman"/>
          <w:i w:val="0"/>
          <w:sz w:val="28"/>
          <w:szCs w:val="28"/>
          <w:lang w:val="ru-RU"/>
        </w:rPr>
        <w:t>СВ</w:t>
      </w:r>
      <w:proofErr w:type="spellEnd"/>
      <w:proofErr w:type="gramEnd"/>
      <w:r w:rsidRPr="0084701E">
        <w:rPr>
          <w:rFonts w:cs="Times New Roman"/>
          <w:i w:val="0"/>
          <w:sz w:val="28"/>
          <w:szCs w:val="28"/>
          <w:lang w:val="ru-RU"/>
        </w:rPr>
        <w:t>, распределённая по закону Пуассона, имеет ряд распределения:</w:t>
      </w:r>
    </w:p>
    <w:tbl>
      <w:tblPr>
        <w:tblStyle w:val="af4"/>
        <w:tblW w:w="0" w:type="auto"/>
        <w:tblLook w:val="01E0"/>
      </w:tblPr>
      <w:tblGrid>
        <w:gridCol w:w="1736"/>
        <w:gridCol w:w="1124"/>
        <w:gridCol w:w="1169"/>
        <w:gridCol w:w="1185"/>
        <w:gridCol w:w="1102"/>
        <w:gridCol w:w="1116"/>
        <w:gridCol w:w="1103"/>
      </w:tblGrid>
      <w:tr w:rsidR="0084701E" w:rsidRPr="0084701E" w:rsidTr="002B549D">
        <w:tc>
          <w:tcPr>
            <w:tcW w:w="173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lastRenderedPageBreak/>
              <w:t>X=k</w:t>
            </w:r>
          </w:p>
        </w:tc>
        <w:tc>
          <w:tcPr>
            <w:tcW w:w="1124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185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2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84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k</w:t>
            </w:r>
          </w:p>
        </w:tc>
        <w:tc>
          <w:tcPr>
            <w:tcW w:w="1103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…</w:t>
            </w:r>
          </w:p>
        </w:tc>
      </w:tr>
      <w:tr w:rsidR="0084701E" w:rsidRPr="0084701E" w:rsidTr="002B549D">
        <w:tc>
          <w:tcPr>
            <w:tcW w:w="1736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12"/>
                <w:sz w:val="28"/>
                <w:szCs w:val="28"/>
                <w:lang w:val="en-US" w:eastAsia="en-US" w:bidi="en-US"/>
              </w:rPr>
              <w:object w:dxaOrig="1520" w:dyaOrig="360">
                <v:shape id="_x0000_i1037" type="#_x0000_t75" style="width:75.75pt;height:18pt" o:ole="">
                  <v:imagedata r:id="rId6" o:title=""/>
                </v:shape>
                <o:OLEObject Type="Embed" ProgID="Equation.3" ShapeID="_x0000_i1037" DrawAspect="Content" ObjectID="_1708122132" r:id="rId28"/>
              </w:object>
            </w:r>
          </w:p>
        </w:tc>
        <w:tc>
          <w:tcPr>
            <w:tcW w:w="1124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6"/>
                <w:sz w:val="28"/>
                <w:szCs w:val="28"/>
                <w:lang w:val="en-US" w:eastAsia="en-US" w:bidi="en-US"/>
              </w:rPr>
              <w:object w:dxaOrig="440" w:dyaOrig="380">
                <v:shape id="_x0000_i1038" type="#_x0000_t75" style="width:21.75pt;height:18.75pt" o:ole="">
                  <v:imagedata r:id="rId29" o:title=""/>
                </v:shape>
                <o:OLEObject Type="Embed" ProgID="Equation.3" ShapeID="_x0000_i1038" DrawAspect="Content" ObjectID="_1708122133" r:id="rId30"/>
              </w:object>
            </w:r>
          </w:p>
        </w:tc>
        <w:tc>
          <w:tcPr>
            <w:tcW w:w="1169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30"/>
                <w:sz w:val="28"/>
                <w:szCs w:val="28"/>
                <w:lang w:val="en-US" w:eastAsia="en-US" w:bidi="en-US"/>
              </w:rPr>
              <w:object w:dxaOrig="780" w:dyaOrig="760">
                <v:shape id="_x0000_i1039" type="#_x0000_t75" style="width:39pt;height:38.25pt" o:ole="">
                  <v:imagedata r:id="rId31" o:title=""/>
                </v:shape>
                <o:OLEObject Type="Embed" ProgID="Equation.3" ShapeID="_x0000_i1039" DrawAspect="Content" ObjectID="_1708122134" r:id="rId32"/>
              </w:object>
            </w:r>
          </w:p>
        </w:tc>
        <w:tc>
          <w:tcPr>
            <w:tcW w:w="1185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30"/>
                <w:sz w:val="28"/>
                <w:szCs w:val="28"/>
                <w:lang w:val="en-US" w:eastAsia="en-US" w:bidi="en-US"/>
              </w:rPr>
              <w:object w:dxaOrig="900" w:dyaOrig="760">
                <v:shape id="_x0000_i1040" type="#_x0000_t75" style="width:45pt;height:38.25pt" o:ole="">
                  <v:imagedata r:id="rId33" o:title=""/>
                </v:shape>
                <o:OLEObject Type="Embed" ProgID="Equation.3" ShapeID="_x0000_i1040" DrawAspect="Content" ObjectID="_1708122135" r:id="rId34"/>
              </w:object>
            </w:r>
          </w:p>
        </w:tc>
        <w:tc>
          <w:tcPr>
            <w:tcW w:w="1102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84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</w:rPr>
            </w:pPr>
            <w:r w:rsidRPr="0084701E">
              <w:rPr>
                <w:rFonts w:eastAsiaTheme="minorHAnsi" w:cstheme="minorBidi"/>
                <w:i w:val="0"/>
                <w:iCs/>
                <w:position w:val="-30"/>
                <w:sz w:val="28"/>
                <w:szCs w:val="28"/>
                <w:lang w:val="en-US" w:eastAsia="en-US" w:bidi="en-US"/>
              </w:rPr>
              <w:object w:dxaOrig="900" w:dyaOrig="760">
                <v:shape id="_x0000_i1041" type="#_x0000_t75" style="width:45pt;height:38.25pt" o:ole="">
                  <v:imagedata r:id="rId35" o:title=""/>
                </v:shape>
                <o:OLEObject Type="Embed" ProgID="Equation.3" ShapeID="_x0000_i1041" DrawAspect="Content" ObjectID="_1708122136" r:id="rId36"/>
              </w:object>
            </w:r>
          </w:p>
        </w:tc>
        <w:tc>
          <w:tcPr>
            <w:tcW w:w="1103" w:type="dxa"/>
          </w:tcPr>
          <w:p w:rsidR="0084701E" w:rsidRPr="0084701E" w:rsidRDefault="0084701E" w:rsidP="002B549D">
            <w:pPr>
              <w:rPr>
                <w:i w:val="0"/>
                <w:sz w:val="28"/>
                <w:szCs w:val="28"/>
                <w:lang w:val="en-US"/>
              </w:rPr>
            </w:pPr>
            <w:r w:rsidRPr="0084701E">
              <w:rPr>
                <w:i w:val="0"/>
                <w:sz w:val="28"/>
                <w:szCs w:val="28"/>
                <w:lang w:val="en-US"/>
              </w:rPr>
              <w:t>…</w:t>
            </w:r>
          </w:p>
        </w:tc>
      </w:tr>
    </w:tbl>
    <w:p w:rsidR="0084701E" w:rsidRPr="0084701E" w:rsidRDefault="0084701E" w:rsidP="0084701E">
      <w:pPr>
        <w:rPr>
          <w:rFonts w:cs="Times New Roman"/>
          <w:i w:val="0"/>
          <w:sz w:val="28"/>
          <w:szCs w:val="28"/>
        </w:rPr>
      </w:pPr>
    </w:p>
    <w:p w:rsidR="0084701E" w:rsidRPr="0084701E" w:rsidRDefault="0084701E" w:rsidP="0084701E">
      <w:pPr>
        <w:rPr>
          <w:rFonts w:cs="Times New Roman"/>
          <w:i w:val="0"/>
          <w:sz w:val="28"/>
          <w:szCs w:val="28"/>
        </w:rPr>
      </w:pPr>
      <w:r w:rsidRPr="0084701E">
        <w:rPr>
          <w:rFonts w:cs="Times New Roman"/>
          <w:i w:val="0"/>
          <w:position w:val="-10"/>
          <w:sz w:val="28"/>
          <w:szCs w:val="28"/>
        </w:rPr>
        <w:object w:dxaOrig="1860" w:dyaOrig="340">
          <v:shape id="_x0000_i1042" type="#_x0000_t75" style="width:93pt;height:17.25pt" o:ole="">
            <v:imagedata r:id="rId37" o:title=""/>
          </v:shape>
          <o:OLEObject Type="Embed" ProgID="Equation.3" ShapeID="_x0000_i1042" DrawAspect="Content" ObjectID="_1708122137" r:id="rId38"/>
        </w:object>
      </w:r>
    </w:p>
    <w:p w:rsidR="0084701E" w:rsidRPr="0084701E" w:rsidRDefault="0084701E" w:rsidP="0084701E">
      <w:pPr>
        <w:rPr>
          <w:rFonts w:cs="Times New Roman"/>
          <w:i w:val="0"/>
          <w:sz w:val="28"/>
          <w:szCs w:val="28"/>
          <w:lang w:val="ru-RU"/>
        </w:rPr>
      </w:pPr>
      <w:r w:rsidRPr="0084701E">
        <w:rPr>
          <w:rFonts w:cs="Times New Roman"/>
          <w:i w:val="0"/>
          <w:sz w:val="28"/>
          <w:szCs w:val="28"/>
          <w:lang w:val="ru-RU"/>
        </w:rPr>
        <w:t xml:space="preserve">На основании опытных данных находят оценки для математического ожидания и дисперсии, если они близки между собой, то есть основание считать, что </w:t>
      </w:r>
      <w:proofErr w:type="spellStart"/>
      <w:proofErr w:type="gramStart"/>
      <w:r w:rsidRPr="0084701E">
        <w:rPr>
          <w:rFonts w:cs="Times New Roman"/>
          <w:i w:val="0"/>
          <w:sz w:val="28"/>
          <w:szCs w:val="28"/>
          <w:lang w:val="ru-RU"/>
        </w:rPr>
        <w:t>СВ</w:t>
      </w:r>
      <w:proofErr w:type="spellEnd"/>
      <w:proofErr w:type="gramEnd"/>
      <w:r w:rsidRPr="0084701E">
        <w:rPr>
          <w:rFonts w:cs="Times New Roman"/>
          <w:i w:val="0"/>
          <w:sz w:val="28"/>
          <w:szCs w:val="28"/>
          <w:lang w:val="ru-RU"/>
        </w:rPr>
        <w:t xml:space="preserve"> распределена по закону Пуассона.</w:t>
      </w:r>
    </w:p>
    <w:p w:rsidR="00783D3E" w:rsidRPr="0084701E" w:rsidRDefault="00783D3E">
      <w:pPr>
        <w:rPr>
          <w:i w:val="0"/>
          <w:lang w:val="ru-RU"/>
        </w:rPr>
      </w:pPr>
    </w:p>
    <w:sectPr w:rsidR="00783D3E" w:rsidRPr="0084701E" w:rsidSect="00783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701E"/>
    <w:rsid w:val="0002159C"/>
    <w:rsid w:val="00026711"/>
    <w:rsid w:val="000351F4"/>
    <w:rsid w:val="002D7FD0"/>
    <w:rsid w:val="003E01FD"/>
    <w:rsid w:val="00410038"/>
    <w:rsid w:val="00592653"/>
    <w:rsid w:val="006C271D"/>
    <w:rsid w:val="00783D3E"/>
    <w:rsid w:val="0084701E"/>
    <w:rsid w:val="00876157"/>
    <w:rsid w:val="009A03EC"/>
    <w:rsid w:val="00A35635"/>
    <w:rsid w:val="00BD370A"/>
    <w:rsid w:val="00CB110A"/>
    <w:rsid w:val="00E45851"/>
    <w:rsid w:val="00F223C1"/>
    <w:rsid w:val="00F626D5"/>
    <w:rsid w:val="00FC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Cs/>
        <w:sz w:val="24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10A"/>
    <w:rPr>
      <w:i/>
      <w:sz w:val="20"/>
    </w:rPr>
  </w:style>
  <w:style w:type="paragraph" w:styleId="1">
    <w:name w:val="heading 1"/>
    <w:basedOn w:val="a"/>
    <w:next w:val="a"/>
    <w:link w:val="10"/>
    <w:uiPriority w:val="9"/>
    <w:qFormat/>
    <w:rsid w:val="00CB110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0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B110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B110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B110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CB110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B110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CB110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CB110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0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rsid w:val="00CB110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rsid w:val="00CB110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rsid w:val="00CB110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rsid w:val="00CB110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rsid w:val="00CB110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rsid w:val="00CB110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rsid w:val="00CB110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rsid w:val="00CB110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11">
    <w:name w:val="toc 1"/>
    <w:basedOn w:val="a"/>
    <w:next w:val="a"/>
    <w:autoRedefine/>
    <w:unhideWhenUsed/>
    <w:rsid w:val="00410038"/>
    <w:pPr>
      <w:spacing w:before="360" w:after="360"/>
      <w:jc w:val="left"/>
    </w:pPr>
    <w:rPr>
      <w:rFonts w:ascii="Calibri" w:eastAsia="Times New Roman" w:hAnsi="Calibri"/>
      <w:b/>
      <w:bCs/>
      <w:caps/>
      <w:sz w:val="22"/>
      <w:szCs w:val="22"/>
      <w:u w:val="single"/>
      <w:lang w:eastAsia="ru-RU"/>
    </w:rPr>
  </w:style>
  <w:style w:type="paragraph" w:styleId="21">
    <w:name w:val="toc 2"/>
    <w:basedOn w:val="a"/>
    <w:next w:val="a"/>
    <w:autoRedefine/>
    <w:unhideWhenUsed/>
    <w:rsid w:val="00410038"/>
    <w:pPr>
      <w:tabs>
        <w:tab w:val="right" w:leader="dot" w:pos="9350"/>
      </w:tabs>
      <w:jc w:val="left"/>
    </w:pPr>
    <w:rPr>
      <w:rFonts w:ascii="Calibri" w:eastAsia="Times New Roman" w:hAnsi="Calibri"/>
      <w:b/>
      <w:bCs/>
      <w:smallCaps/>
      <w:sz w:val="22"/>
      <w:szCs w:val="22"/>
      <w:lang w:eastAsia="ru-RU"/>
    </w:rPr>
  </w:style>
  <w:style w:type="paragraph" w:styleId="31">
    <w:name w:val="toc 3"/>
    <w:basedOn w:val="a"/>
    <w:next w:val="a"/>
    <w:autoRedefine/>
    <w:unhideWhenUsed/>
    <w:rsid w:val="00410038"/>
    <w:pPr>
      <w:jc w:val="left"/>
    </w:pPr>
    <w:rPr>
      <w:rFonts w:ascii="Calibri" w:eastAsia="Times New Roman" w:hAnsi="Calibri"/>
      <w:smallCaps/>
      <w:sz w:val="22"/>
      <w:szCs w:val="2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CB110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CB110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5">
    <w:name w:val="Subtitle"/>
    <w:basedOn w:val="a"/>
    <w:next w:val="a"/>
    <w:link w:val="a6"/>
    <w:uiPriority w:val="11"/>
    <w:qFormat/>
    <w:rsid w:val="00CB110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B110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7">
    <w:name w:val="Strong"/>
    <w:uiPriority w:val="22"/>
    <w:qFormat/>
    <w:rsid w:val="00CB110A"/>
    <w:rPr>
      <w:b/>
      <w:bCs/>
      <w:spacing w:val="0"/>
    </w:rPr>
  </w:style>
  <w:style w:type="character" w:styleId="a8">
    <w:name w:val="Emphasis"/>
    <w:uiPriority w:val="20"/>
    <w:qFormat/>
    <w:rsid w:val="00CB110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9">
    <w:name w:val="List Paragraph"/>
    <w:basedOn w:val="a"/>
    <w:uiPriority w:val="34"/>
    <w:qFormat/>
    <w:rsid w:val="00CB110A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B110A"/>
    <w:pPr>
      <w:outlineLvl w:val="9"/>
    </w:pPr>
  </w:style>
  <w:style w:type="paragraph" w:customStyle="1" w:styleId="12">
    <w:name w:val="Стиль1"/>
    <w:basedOn w:val="1"/>
    <w:link w:val="13"/>
    <w:rsid w:val="00410038"/>
    <w:pPr>
      <w:spacing w:after="0"/>
      <w:ind w:firstLine="567"/>
      <w:jc w:val="center"/>
    </w:pPr>
    <w:rPr>
      <w:sz w:val="28"/>
      <w:szCs w:val="28"/>
    </w:rPr>
  </w:style>
  <w:style w:type="character" w:customStyle="1" w:styleId="13">
    <w:name w:val="Стиль1 Знак"/>
    <w:basedOn w:val="10"/>
    <w:link w:val="12"/>
    <w:rsid w:val="00410038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semiHidden/>
    <w:unhideWhenUsed/>
    <w:qFormat/>
    <w:rsid w:val="00CB110A"/>
    <w:rPr>
      <w:b/>
      <w:bCs/>
      <w:color w:val="943634" w:themeColor="accent2" w:themeShade="BF"/>
      <w:sz w:val="18"/>
      <w:szCs w:val="18"/>
    </w:rPr>
  </w:style>
  <w:style w:type="paragraph" w:styleId="ac">
    <w:name w:val="No Spacing"/>
    <w:basedOn w:val="a"/>
    <w:uiPriority w:val="1"/>
    <w:qFormat/>
    <w:rsid w:val="00CB110A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CB110A"/>
    <w:rPr>
      <w:i w:val="0"/>
      <w:iCs w:val="0"/>
      <w:color w:val="943634" w:themeColor="accent2" w:themeShade="BF"/>
    </w:rPr>
  </w:style>
  <w:style w:type="character" w:customStyle="1" w:styleId="23">
    <w:name w:val="Цитата 2 Знак"/>
    <w:basedOn w:val="a0"/>
    <w:link w:val="22"/>
    <w:uiPriority w:val="29"/>
    <w:rsid w:val="00CB110A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CB110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e">
    <w:name w:val="Выделенная цитата Знак"/>
    <w:basedOn w:val="a0"/>
    <w:link w:val="ad"/>
    <w:uiPriority w:val="30"/>
    <w:rsid w:val="00CB110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CB110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CB110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CB110A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CB110A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CB110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table" w:styleId="af4">
    <w:name w:val="Table Grid"/>
    <w:basedOn w:val="a1"/>
    <w:rsid w:val="0084701E"/>
    <w:pPr>
      <w:spacing w:after="0" w:line="240" w:lineRule="auto"/>
      <w:jc w:val="left"/>
    </w:pPr>
    <w:rPr>
      <w:rFonts w:ascii="Times New Roman" w:eastAsia="Times New Roman" w:hAnsi="Times New Roman" w:cs="Times New Roman"/>
      <w:iCs w:val="0"/>
      <w:sz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1263</Characters>
  <Application>Microsoft Office Word</Application>
  <DocSecurity>0</DocSecurity>
  <Lines>10</Lines>
  <Paragraphs>2</Paragraphs>
  <ScaleCrop>false</ScaleCrop>
  <Company>Grizli777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2022-03-06T22:26:00Z</dcterms:created>
  <dcterms:modified xsi:type="dcterms:W3CDTF">2022-03-06T22:28:00Z</dcterms:modified>
</cp:coreProperties>
</file>