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06938"/>
          <w:sz w:val="24"/>
          <w:szCs w:val="24"/>
        </w:rPr>
        <w:t xml:space="preserve">MÜŞTERİ ŞİKÂYET TAKİP SİSTEMİ — CANLIYA GEÇİŞ</w:t>
      </w:r>
    </w:p>
    <w:p>
      <w:pPr>
        <w:pBdr>
          <w:bottom w:val="single" w:color="006938" w:sz="10" w:space="3"/>
        </w:pBdr>
        <w:spacing w:after="100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Bilgi İşlem Dairesi Başkanlığına — uygulamanın turkseker.gov.tr üzerinden erişilebilir hâle getirilmesi için yapılması gerekenler</w:t>
      </w:r>
    </w:p>
    <w:p>
      <w:pPr>
        <w:pBdr>
          <w:bottom w:val="single" w:color="006938" w:sz="4" w:space="2"/>
        </w:pBdr>
        <w:spacing w:after="60" w:before="130"/>
      </w:pPr>
      <w:r>
        <w:rPr>
          <w:rFonts w:ascii="Calibri" w:cs="Calibri" w:eastAsia="Calibri" w:hAnsi="Calibri"/>
          <w:b/>
          <w:bCs/>
          <w:caps/>
          <w:color w:val="006938"/>
          <w:sz w:val="19"/>
          <w:szCs w:val="19"/>
        </w:rPr>
        <w:t xml:space="preserve">1. Sunucu ve kurulum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1.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Sunucu.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Node.js 22.13 veya üzeri (LTS 22/24). Windows Server ya da Linux; tek sunucu yeterlidir. Veritabanı sunucusu gerekmez: SQLite tek dosyadır.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2.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Kaynak ve derleme.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Depo sunucuya alınır: npm ci → npm run kurulum (.env.local'i üretir) → npm run build → npm start. Uygulama 3000 portunu dinler.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3.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Servis.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npm start bir Windows servisi (NSSM) ya da systemd birimi olarak tanımlanır; sunucu yeniden başladığında kendiliğinden ayağa kalkar.</w:t>
      </w:r>
    </w:p>
    <w:p>
      <w:pPr>
        <w:pBdr>
          <w:bottom w:val="single" w:color="006938" w:sz="4" w:space="2"/>
        </w:pBdr>
        <w:spacing w:after="60" w:before="130"/>
      </w:pPr>
      <w:r>
        <w:rPr>
          <w:rFonts w:ascii="Calibri" w:cs="Calibri" w:eastAsia="Calibri" w:hAnsi="Calibri"/>
          <w:b/>
          <w:bCs/>
          <w:caps/>
          <w:color w:val="006938"/>
          <w:sz w:val="19"/>
          <w:szCs w:val="19"/>
        </w:rPr>
        <w:t xml:space="preserve">2. Alan adı ve yayın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4.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Alan adı ve sertifika.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sikayet.turkseker.gov.tr için DNS kaydı ve SSL sertifikası. HTTPS zorunludur: oturum çerezi üretimde Secure olarak işaretlenir, HTTP'de giriş yapılamaz.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5.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Ters vekil sunucu.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IIS / Nginx 443'ten gelen isteği 3000 portuna aktarır; X-Forwarded-Host ve X-Forwarded-Proto başlıkları iletilmelidir.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6.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Ortam değişkenleri.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ALLOWED_ORIGINS=sikayet.turkseker.gov.tr ve APP_BASE_URL=https://sikayet.turkseker.gov.tr yazılır (aşağıdaki uyarı).</w:t>
      </w:r>
    </w:p>
    <w:tbl>
      <w:tblPr>
        <w:tblW w:type="dxa" w:w="9600"/>
        <w:tblBorders>
          <w:top w:val="single" w:color="C9A227" w:sz="4"/>
          <w:left w:val="single" w:color="C9A227" w:sz="12"/>
          <w:bottom w:val="single" w:color="C9A227" w:sz="4"/>
          <w:right w:val="single" w:color="C9A227" w:sz="4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FDF8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18"/>
                <w:szCs w:val="18"/>
              </w:rPr>
              <w:t xml:space="preserve">Dikkat — en sık atlanan adım: </w:t>
            </w: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Uygulamanın her düğmesi bir Next.js Server Action'dır. Vekil sunucu arkasında alan adı ALLOWED_ORIGINS değişkenine yazılmazsa sayfalar açılır ama giriş dahil hiçbir işlem çalışmaz (“Invalid Server Actions request”). APP_BASE_URL de aynı adrese çekilmelidir; yoksa SMS'teki takip bağlantıları localhost der.</w:t>
            </w:r>
          </w:p>
        </w:tc>
      </w:tr>
    </w:tbl>
    <w:p>
      <w:pPr>
        <w:pBdr>
          <w:bottom w:val="single" w:color="006938" w:sz="4" w:space="2"/>
        </w:pBdr>
        <w:spacing w:after="60" w:before="130"/>
      </w:pPr>
      <w:r>
        <w:rPr>
          <w:rFonts w:ascii="Calibri" w:cs="Calibri" w:eastAsia="Calibri" w:hAnsi="Calibri"/>
          <w:b/>
          <w:bCs/>
          <w:caps/>
          <w:color w:val="006938"/>
          <w:sz w:val="19"/>
          <w:szCs w:val="19"/>
        </w:rPr>
        <w:t xml:space="preserve">3. Güvenlik ve kullanıcılar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7.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Oturum anahtarı.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SESSION_SECRET rastgele üretilip değiştirilir (node -e "console.log(require('crypto').randomBytes(48).toString('hex'))").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8.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Demo modu kapatılır.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DEMO_MODE=false. Rol değiştirici kaybolur, sunucu tarafında rol değiştirme reddedilir.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9.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Gerçek kullanıcılar.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Demo hesapları kapatılır (UPDATE users SET is_active = 0 WHERE is_demo = 1); 14 fabrikanın personeli kurum e-postalarıyla tanımlanır. LDAP/Active Directory isteniyorsa tek değişim noktası src/server/auth.ts içindeki login() fonksiyonudur.</w:t>
      </w:r>
    </w:p>
    <w:p>
      <w:pPr>
        <w:pBdr>
          <w:bottom w:val="single" w:color="006938" w:sz="4" w:space="2"/>
        </w:pBdr>
        <w:spacing w:after="60" w:before="130"/>
      </w:pPr>
      <w:r>
        <w:rPr>
          <w:rFonts w:ascii="Calibri" w:cs="Calibri" w:eastAsia="Calibri" w:hAnsi="Calibri"/>
          <w:b/>
          <w:bCs/>
          <w:caps/>
          <w:color w:val="006938"/>
          <w:sz w:val="19"/>
          <w:szCs w:val="19"/>
        </w:rPr>
        <w:t xml:space="preserve">4. SMS, e-posta ve kurum onayları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10.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SMS.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SMS_PROVIDER=netgsm veya iletimerkezi; kullanıcı/parola girilir. TURKSEKER gönderen başlığının operatörde kurum adına tanımlı olması gerekir — başvuru süresi nedeniyle en erken başlatılacak iş budur.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11.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E-posta.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npm install nodemailer, ardından MAIL_PROVIDER=smtp ve kurum SMTP bilgileri; MAIL_FROM=sikayet@turkseker.gov.tr.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12.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KVKK ve takvim.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Aydınlatma metni hukuk biriminin onayladığı metinle değiştirilir (Tanımlar → Ayarlar). Resmî tatil takvimi Diyanet ilanına göre doğrulanır: bütün iş günü süreleri bu takvimden hesaplanır.</w:t>
      </w:r>
    </w:p>
    <w:p>
      <w:pPr>
        <w:pBdr>
          <w:bottom w:val="single" w:color="006938" w:sz="4" w:space="2"/>
        </w:pBdr>
        <w:spacing w:after="60" w:before="130"/>
      </w:pPr>
      <w:r>
        <w:rPr>
          <w:rFonts w:ascii="Calibri" w:cs="Calibri" w:eastAsia="Calibri" w:hAnsi="Calibri"/>
          <w:b/>
          <w:bCs/>
          <w:caps/>
          <w:color w:val="006938"/>
          <w:sz w:val="19"/>
          <w:szCs w:val="19"/>
        </w:rPr>
        <w:t xml:space="preserve">5. Kurum sitesine bağlanması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13.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İki bağlantı.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Kurum sitesinin Sistemler → Müşteri Memnuniyeti başlığına iki bağlantı konur: .../sikayet/yeni (şikâyet formu) ve .../takip (şikâyet takibi). Sayfalar oturum gerektirmez, kurumsal antet ve altbilgiyle kendi başına çalışır.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14.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Gömülü form (isteğe bağlı).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Form kurum sitesine iframe ile gömülecekse next.config.ts içindeki headers() bölümüne /sikayet/:path* yolu için frame-ancestors https://www.turkseker.gov.tr başlığı eklenir.</w:t>
      </w:r>
    </w:p>
    <w:p>
      <w:pPr>
        <w:pBdr>
          <w:bottom w:val="single" w:color="006938" w:sz="4" w:space="2"/>
        </w:pBdr>
        <w:spacing w:after="60" w:before="130"/>
      </w:pPr>
      <w:r>
        <w:rPr>
          <w:rFonts w:ascii="Calibri" w:cs="Calibri" w:eastAsia="Calibri" w:hAnsi="Calibri"/>
          <w:b/>
          <w:bCs/>
          <w:caps/>
          <w:color w:val="006938"/>
          <w:sz w:val="19"/>
          <w:szCs w:val="19"/>
        </w:rPr>
        <w:t xml:space="preserve">6. İşletmeye alma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15.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Yedekleme.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data/sikayet.db ve data/uploads/ klasörü yedeklenir. Veritabanı dosyası doğrudan kopyalanmaz (WAL kipinde yazılmamış veri bekler); VACUUM INTO ile tutarlı kopya alınır. Günlük zamanlanmış görev önerilir.</w:t>
      </w:r>
    </w:p>
    <w:p>
      <w:pPr>
        <w:spacing w:after="50" w:line="230"/>
        <w:ind w:left="170" w:hanging="170"/>
      </w:pPr>
      <w:r>
        <w:rPr>
          <w:rFonts w:ascii="Calibri" w:cs="Calibri" w:eastAsia="Calibri" w:hAnsi="Calibri"/>
          <w:b/>
          <w:bCs/>
          <w:color w:val="006938"/>
          <w:sz w:val="18"/>
          <w:szCs w:val="18"/>
        </w:rPr>
        <w:t xml:space="preserve">16. </w:t>
      </w: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Devreye alma.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Bir fabrikada pilot, ardından 14 fabrikaya yaygınlaştırma. Kurulum sonrası Tanımlar → Demo sekmesinden üretilen örnek veriler, canlıya geçmeden önce aynı sekmeden silinir.</w:t>
      </w:r>
    </w:p>
    <w:p>
      <w:pPr>
        <w:pBdr>
          <w:top w:val="single" w:color="D4D4D4" w:sz="4" w:space="4"/>
        </w:pBdr>
        <w:spacing w:after="0" w:before="140" w:line="230"/>
      </w:pPr>
      <w:r>
        <w:rPr>
          <w:rFonts w:ascii="Calibri" w:cs="Calibri" w:eastAsia="Calibri" w:hAnsi="Calibri"/>
          <w:b/>
          <w:bCs/>
          <w:color w:val="5A5A5A"/>
          <w:sz w:val="17"/>
          <w:szCs w:val="17"/>
        </w:rPr>
        <w:t xml:space="preserve">Not: </w:t>
      </w:r>
      <w:r>
        <w:rPr>
          <w:rFonts w:ascii="Calibri" w:cs="Calibri" w:eastAsia="Calibri" w:hAnsi="Calibri"/>
          <w:color w:val="5A5A5A"/>
          <w:sz w:val="17"/>
          <w:szCs w:val="17"/>
        </w:rPr>
        <w:t xml:space="preserve">Mevcut ölçek (14 fabrika, yılda birkaç yüz dosya) için SQLite fazlasıyla yeterlidir. Yüksek eşzamanlılık gerekirse PostgreSQL'e geçişin tek değişim noktası src/lib/db/index.ts dosyasıdır. Kurulum, yapılandırma ve sorun giderme adımlarının tamamı depodaki README.md dosyasında ayrıntılı olarak yazılıdır.</w:t>
      </w:r>
    </w:p>
    <w:sectPr>
      <w:pgSz w:w="11906" w:h="16838" w:orient="portrait"/>
      <w:pgMar w:top="700" w:right="760" w:bottom="5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Müşteri Şikâyet Takip Sistemi — Canlıya Geçiş Özeti</dc:title>
  <dc:creator>Türkiye Şeker Fabrikaları A.Ş.</dc:creator>
  <cp:lastModifiedBy>Un-named</cp:lastModifiedBy>
  <cp:revision>1</cp:revision>
  <dcterms:created xsi:type="dcterms:W3CDTF">2026-10-20T10:36:02.529Z</dcterms:created>
  <dcterms:modified xsi:type="dcterms:W3CDTF">2026-10-20T10:36:02.546Z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