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GSS Open Access Award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Thursday, November 19, 2015 at 10:30AM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Chair: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Abhishek Nanjundappa, Director of University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Secretary: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Katie Hearn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, Administrat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Present: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Mark Perry, Director of External Relations; Abhishek Nanjundappa, Director of University Relations; </w:t>
      </w:r>
      <w:r w:rsidDel="00000000" w:rsidR="00000000" w:rsidRPr="00000000">
        <w:rPr>
          <w:rFonts w:ascii="Georgia" w:cs="Georgia" w:eastAsia="Georgia" w:hAnsi="Georgia"/>
          <w:color w:val="333333"/>
          <w:highlight w:val="white"/>
          <w:rtl w:val="0"/>
        </w:rPr>
        <w:t xml:space="preserve">Rebecca Dowson, Digital Scholarship Librarian;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Katie Hearn,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360"/>
        <w:contextualSpacing w:val="1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Meeting called to order at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:30 AM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360"/>
        <w:contextualSpacing w:val="1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Acknowledgement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“We acknowledge and thank the Coast Salish Nations of Musqueam, Tsleil-Waututh and Squamish on whose ancestral, traditional and unceded territories we teach, learn, research and live.”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360"/>
        <w:contextualSpacing w:val="1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Approval of Agenda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Nothing to add to the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360"/>
        <w:contextualSpacing w:val="1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 Business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a. Abhishek: 2015 GSS Open access award adjudication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45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There were 15 applicants. Their student ID numbers were entered into a number randomizer. All students were confirmed to be current graduate students.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contextualSpacing w:val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Total Budget is $750 - $250 GSS, $250 SFU Library, $250 VP Research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890"/>
        <w:gridCol w:w="5850"/>
        <w:gridCol w:w="1515"/>
        <w:tblGridChange w:id="0">
          <w:tblGrid>
            <w:gridCol w:w="615"/>
            <w:gridCol w:w="1890"/>
            <w:gridCol w:w="5850"/>
            <w:gridCol w:w="15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Article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Award 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Samaneh Khakshour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Probing Mechanical Properties of Jurkat Cells under the Effect of ART Using Oscillating Optical Tweezers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125.00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Edith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Discovering bin‐Laden's Replacement in al‐Qaeda, using Social Network Analysis: A Methodological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125.00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Sibo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The Materialist Circuits and the Quest for Environmental Justice in ICT's Global Expansion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**paper is not online yet** Has been accepted but not published yet.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*Ask the student to submit a post-print copy to Summit (one after peer review) or ask if they know when it will be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125.00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Essya M. Nabbali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ID Politics: The Violence of Modernity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125.00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Tessa Cheng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Increases and decreases in drug use attributed to housing status among street‐involved youth in a Canadian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125.00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Charling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The emergence and spread of ecourban neighbourhoods around the world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*First author is a prof. Other two are students. Only Charling Li submitted but other student is also a GSS member. Could ask the other author to submit bio information and give her the other half? Yes - split between Charling Li and Co-Author who is also a graduate student.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62.50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**Students need to sign Summit licence when picking up cheque. Have the form ready for them when they come to pick up the cheque.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Be it Resolved That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GSS open access award team adjudicate the 2015 GSS open access awards as presented at 19th November 2015 meeting.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Mark Perry/Rebecca Dowson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CARRIED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360"/>
        <w:contextualSpacing w:val="1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Committee on the whole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a. Abhishek: Improvements and changes for 2016 award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Make affiliation to SFU clear.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Might be good to say article has to be published before they can apply.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Everyone needs to sign licence to Summit.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to deal with multi author papers where one or more GSS members doesn’t submit an application.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Mark suggested to make it an Open Access Author Award then it is just for the  author. Encourage individuals to show they published.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UBC calls it the “Open Scholar Award” - not specifically published in an open access journal.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Could add email to affiliation to contact co-authors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Should it be based on merit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More about encouraging people to submit to Open Access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Should single authors get more money than multiple author papers?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 because you are second or third author, doesn’t mean they didn’t do most of the work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Also want to encourage collaboration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about people who were graduate students when they did the work but no longer are?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about recent grad students? 4 semesters afterwards?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Put in time period for when they published the article?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 semesters afterward seems fair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to do about people who have already won an award?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They can win again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Is it for the paper or the individual?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Only one paper per author can win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Mark likes idea of moving to Scholar rather than Paper. Eliminates problem of multi-author papers. Saves a lot of time for admin work.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Ask everyone to submit to Summit - add upload button for the article and for the licence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Ask for photo too?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Ask for permission in form for everyone to give permission for it to be included in summit and their information posted.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Funding for next year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Funding from outside SFU?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Publishing Department?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Donations from Deans?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Senate Library Sub-Committee on Open Access looking at Open Access on campus moving forward. Rebecca can share the report with them.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Report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Feedback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Stats of applicants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the purpose was/intention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successful it was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 talking to people for donations in January. Meet in July to discuss program for 2016-2017.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Meeting adjournment at 11: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0 AM</w:t>
      </w:r>
    </w:p>
    <w:sectPr>
      <w:headerReference r:id="rId6" w:type="default"/>
      <w:footerReference r:id="rId7" w:type="default"/>
      <w:pgSz w:h="15840" w:w="12240"/>
      <w:pgMar w:bottom="1276" w:top="1440" w:left="1080" w:right="90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63501</wp:posOffset>
              </wp:positionH>
              <wp:positionV relativeFrom="paragraph">
                <wp:posOffset>-101599</wp:posOffset>
              </wp:positionV>
              <wp:extent cx="66294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300" y="3780000"/>
                        <a:ext cx="66294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63501</wp:posOffset>
              </wp:positionH>
              <wp:positionV relativeFrom="paragraph">
                <wp:posOffset>-101599</wp:posOffset>
              </wp:positionV>
              <wp:extent cx="66294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9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Maggie Benston Centre Room 2205 • Simon Fraser University • 8888 University Drive • Burnaby, BC, V5A 1S6</w:t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Tel: (778) 782-3899 • www.sfugradsociety.ca • www.facebook.com/sfugradsociety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47" w:line="240" w:lineRule="auto"/>
      <w:contextualSpacing w:val="0"/>
      <w:jc w:val="right"/>
      <w:rPr>
        <w:rFonts w:ascii="Calibri" w:cs="Calibri" w:eastAsia="Calibri" w:hAnsi="Calibri"/>
        <w:b w:val="0"/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-57149</wp:posOffset>
          </wp:positionH>
          <wp:positionV relativeFrom="paragraph">
            <wp:posOffset>114300</wp:posOffset>
          </wp:positionV>
          <wp:extent cx="4427855" cy="635000"/>
          <wp:effectExtent b="0" l="0" r="0" t="0"/>
          <wp:wrapSquare wrapText="bothSides" distB="0" distT="0" distL="0" distR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27855" cy="635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right="360"/>
      <w:contextualSpacing w:val="0"/>
      <w:rPr>
        <w:rFonts w:ascii="Times New Roman" w:cs="Times New Roman" w:eastAsia="Times New Roman" w:hAnsi="Times New Roman"/>
        <w:b w:val="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contextualSpacing w:val="0"/>
      <w:rPr>
        <w:rFonts w:ascii="Times New Roman" w:cs="Times New Roman" w:eastAsia="Times New Roman" w:hAnsi="Times New Roman"/>
        <w:b w:val="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63501</wp:posOffset>
              </wp:positionH>
              <wp:positionV relativeFrom="paragraph">
                <wp:posOffset>50800</wp:posOffset>
              </wp:positionV>
              <wp:extent cx="66294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300" y="3780000"/>
                        <a:ext cx="66294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63501</wp:posOffset>
              </wp:positionH>
              <wp:positionV relativeFrom="paragraph">
                <wp:posOffset>50800</wp:posOffset>
              </wp:positionV>
              <wp:extent cx="662940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9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