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irwv2b1f5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Carga de CV (50%)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funcionalidad es clave para los candidatos, pero su cobertura actual es insuficiente.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faltantes: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Verificación de la carga de archivos en distintos formatos (.pdf, .docx, .odt).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Comprobación del comportamiento con archivos corruptos o vacíos.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carga para archivos de gran tamaño.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mensajes de error ante extensiones no permitidas.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Redirección y confirmación tras una carga exitosa.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jzkm2aqa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Accesibilidad y compatibilidad (40%)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Una plataforma moderna debe ser accesible desde múltiples dispositivos y navegadores. La cobertura actual no garantiza una buena experiencia cross-platform.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faltantes: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y funcionamiento en dispositivos móviles (Android/iOS).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Comportamiento en navegadores alternativos (Firefox, Safari, Edge).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mediante teclado para usuarios con movilidad reducida.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Contraste y legibilidad para personas con discapacidad visual.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correcto de etiquetas ARIA para tecnologías asistivas.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