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0"/>
        <w:tabs>
          <w:tab w:val="clear" w:pos="854"/>
        </w:tabs>
        <w:ind w:left="396" w:leftChars="95" w:hanging="197" w:hangingChars="94"/>
        <w:rPr>
          <w:rFonts w:hint="eastAsia" w:ascii="Times New Roman" w:eastAsia="宋体"/>
          <w:b/>
          <w:sz w:val="32"/>
          <w:szCs w:val="32"/>
          <w:lang w:eastAsia="zh-CN"/>
        </w:rPr>
      </w:pPr>
      <w:r>
        <w:rPr>
          <w:rFonts w:hint="eastAsia" w:ascii="Times New Roman"/>
          <w:b/>
          <w:color w:val="000000"/>
        </w:rPr>
        <w:t>涉密</w:t>
      </w:r>
      <w:r>
        <w:rPr>
          <w:rFonts w:ascii="Times New Roman"/>
          <w:b/>
          <w:color w:val="000000"/>
        </w:rPr>
        <w:t>论文</w:t>
      </w:r>
      <w:r>
        <w:rPr>
          <w:rFonts w:hint="eastAsia" w:ascii="Times New Roman"/>
          <w:b/>
          <w:color w:val="000000"/>
        </w:rPr>
        <w:t xml:space="preserve"> </w:t>
      </w:r>
      <w:r>
        <w:rPr>
          <w:rFonts w:hint="eastAsia" w:ascii="Times New Roman"/>
          <w:color w:val="000000"/>
          <w:lang w:eastAsia="zh-CN"/>
        </w:rPr>
        <w:t>□</w:t>
      </w:r>
      <w:r>
        <w:rPr>
          <w:rFonts w:hint="eastAsia" w:ascii="Times New Roman"/>
          <w:color w:val="000000"/>
        </w:rPr>
        <w:t xml:space="preserve">   </w:t>
      </w:r>
      <w:r>
        <w:rPr>
          <w:rFonts w:hint="eastAsia" w:ascii="Times New Roman"/>
          <w:b/>
          <w:color w:val="000000"/>
        </w:rPr>
        <w:t>公开</w:t>
      </w:r>
      <w:r>
        <w:rPr>
          <w:rFonts w:ascii="Times New Roman"/>
          <w:b/>
          <w:color w:val="000000"/>
        </w:rPr>
        <w:t>论文</w:t>
      </w:r>
      <w:r>
        <w:rPr>
          <w:rFonts w:hint="eastAsia" w:ascii="Times New Roman"/>
          <w:b/>
          <w:color w:val="000000"/>
        </w:rPr>
        <w:t xml:space="preserve"> </w:t>
      </w:r>
      <w:r>
        <w:rPr>
          <w:rFonts w:hint="eastAsia" w:ascii="Times New Roman"/>
          <w:color w:val="000000"/>
          <w:lang w:eastAsia="zh-CN"/>
        </w:rPr>
        <w:t>☑</w:t>
      </w:r>
    </w:p>
    <w:p>
      <w:pPr>
        <w:rPr>
          <w:color w:val="000000"/>
        </w:rPr>
      </w:pPr>
    </w:p>
    <w:p>
      <w:r>
        <w:rPr>
          <w:sz w:val="13"/>
        </w:rPr>
        <w:drawing>
          <wp:anchor distT="0" distB="0" distL="114300" distR="114300" simplePos="0" relativeHeight="251659264" behindDoc="0" locked="0" layoutInCell="1" allowOverlap="1">
            <wp:simplePos x="0" y="0"/>
            <wp:positionH relativeFrom="column">
              <wp:posOffset>697865</wp:posOffset>
            </wp:positionH>
            <wp:positionV relativeFrom="paragraph">
              <wp:posOffset>297180</wp:posOffset>
            </wp:positionV>
            <wp:extent cx="3886200" cy="971550"/>
            <wp:effectExtent l="19050" t="0" r="0" b="0"/>
            <wp:wrapTopAndBottom/>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noChangeArrowheads="1"/>
                    </pic:cNvPicPr>
                  </pic:nvPicPr>
                  <pic:blipFill>
                    <a:blip r:embed="rId18"/>
                    <a:srcRect/>
                    <a:stretch>
                      <a:fillRect/>
                    </a:stretch>
                  </pic:blipFill>
                  <pic:spPr>
                    <a:xfrm>
                      <a:off x="0" y="0"/>
                      <a:ext cx="3886200" cy="971550"/>
                    </a:xfrm>
                    <a:prstGeom prst="rect">
                      <a:avLst/>
                    </a:prstGeom>
                    <a:noFill/>
                  </pic:spPr>
                </pic:pic>
              </a:graphicData>
            </a:graphic>
          </wp:anchor>
        </w:drawing>
      </w:r>
    </w:p>
    <w:p>
      <w:pPr>
        <w:rPr>
          <w:b/>
          <w:bCs/>
          <w:sz w:val="13"/>
        </w:rPr>
      </w:pPr>
    </w:p>
    <w:p>
      <w:pPr>
        <w:spacing w:line="400" w:lineRule="atLeast"/>
        <w:jc w:val="center"/>
        <w:rPr>
          <w:rFonts w:eastAsia="黑体"/>
          <w:b/>
          <w:bCs/>
          <w:sz w:val="52"/>
        </w:rPr>
      </w:pPr>
      <w:r>
        <w:rPr>
          <w:rFonts w:hint="eastAsia" w:eastAsia="黑体"/>
          <w:b/>
          <w:bCs/>
          <w:sz w:val="52"/>
        </w:rPr>
        <w:drawing>
          <wp:anchor distT="0" distB="0" distL="114300" distR="114300" simplePos="0" relativeHeight="251660288" behindDoc="0" locked="0" layoutInCell="1" allowOverlap="1">
            <wp:simplePos x="0" y="0"/>
            <wp:positionH relativeFrom="column">
              <wp:posOffset>2023110</wp:posOffset>
            </wp:positionH>
            <wp:positionV relativeFrom="paragraph">
              <wp:posOffset>761365</wp:posOffset>
            </wp:positionV>
            <wp:extent cx="1079500" cy="1083945"/>
            <wp:effectExtent l="19050" t="0" r="6350" b="0"/>
            <wp:wrapTopAndBottom/>
            <wp:docPr id="5" name="图片 1" descr="C:\Users\Dell\AppData\Local\Temp\WeChat Files\559516538871159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C:\Users\Dell\AppData\Local\Temp\WeChat Files\559516538871159220.png"/>
                    <pic:cNvPicPr preferRelativeResize="0">
                      <a:picLocks noChangeAspect="1" noChangeArrowheads="1"/>
                    </pic:cNvPicPr>
                  </pic:nvPicPr>
                  <pic:blipFill>
                    <a:blip r:embed="rId19"/>
                    <a:stretch>
                      <a:fillRect/>
                    </a:stretch>
                  </pic:blipFill>
                  <pic:spPr>
                    <a:xfrm>
                      <a:off x="0" y="0"/>
                      <a:ext cx="1079500" cy="1083945"/>
                    </a:xfrm>
                    <a:prstGeom prst="rect">
                      <a:avLst/>
                    </a:prstGeom>
                    <a:noFill/>
                    <a:ln w="9525">
                      <a:noFill/>
                      <a:miter lim="800000"/>
                      <a:headEnd/>
                      <a:tailEnd/>
                    </a:ln>
                  </pic:spPr>
                </pic:pic>
              </a:graphicData>
            </a:graphic>
          </wp:anchor>
        </w:drawing>
      </w:r>
      <w:r>
        <w:rPr>
          <w:rFonts w:hint="eastAsia" w:eastAsia="黑体"/>
          <w:b/>
          <w:bCs/>
          <w:sz w:val="52"/>
          <w:lang w:val="en-US" w:eastAsia="zh-CN"/>
        </w:rPr>
        <w:t>中国改革开放史课程</w:t>
      </w:r>
      <w:r>
        <w:rPr>
          <w:rFonts w:hint="eastAsia" w:eastAsia="黑体"/>
          <w:b/>
          <w:bCs/>
          <w:sz w:val="52"/>
        </w:rPr>
        <w:t>论文</w:t>
      </w:r>
    </w:p>
    <w:p>
      <w:pPr>
        <w:spacing w:line="400" w:lineRule="atLeast"/>
        <w:rPr>
          <w:b/>
          <w:bCs/>
          <w:sz w:val="13"/>
        </w:rPr>
      </w:pPr>
    </w:p>
    <w:p>
      <w:pPr>
        <w:spacing w:line="400" w:lineRule="atLeast"/>
        <w:ind w:firstLine="420" w:firstLineChars="0"/>
        <w:jc w:val="left"/>
        <w:rPr>
          <w:rFonts w:ascii="仿宋" w:hAnsi="仿宋" w:eastAsia="仿宋"/>
          <w:b/>
          <w:bCs/>
          <w:sz w:val="30"/>
          <w:szCs w:val="30"/>
          <w:u w:val="wave"/>
        </w:rPr>
      </w:pPr>
      <w:r>
        <w:rPr>
          <w:rFonts w:hint="eastAsia" w:ascii="仿宋" w:hAnsi="仿宋" w:eastAsia="仿宋"/>
          <w:b/>
          <w:bCs/>
          <w:sz w:val="32"/>
          <w:szCs w:val="32"/>
        </w:rPr>
        <w:t>题目</w:t>
      </w:r>
      <w:r>
        <w:rPr>
          <w:rFonts w:hint="eastAsia" w:ascii="仿宋" w:hAnsi="仿宋" w:eastAsia="仿宋"/>
          <w:b/>
          <w:bCs/>
          <w:sz w:val="32"/>
          <w:szCs w:val="32"/>
          <w:u w:val="single"/>
          <w:lang w:val="en-US" w:eastAsia="zh-CN"/>
        </w:rPr>
        <w:t xml:space="preserve"> </w:t>
      </w:r>
      <w:r>
        <w:rPr>
          <w:rFonts w:hint="eastAsia" w:ascii="仿宋" w:hAnsi="仿宋" w:eastAsia="仿宋"/>
          <w:b/>
          <w:bCs/>
          <w:sz w:val="32"/>
          <w:szCs w:val="32"/>
          <w:u w:val="single"/>
        </w:rPr>
        <w:t xml:space="preserve">硒光下的未来：恩施硒产业与乡村振兴战略的融合 </w:t>
      </w:r>
    </w:p>
    <w:p>
      <w:pPr>
        <w:spacing w:line="400" w:lineRule="atLeast"/>
        <w:ind w:left="2" w:leftChars="1" w:firstLine="3080" w:firstLineChars="700"/>
        <w:rPr>
          <w:rFonts w:ascii="仿宋" w:hAnsi="仿宋" w:eastAsia="仿宋"/>
          <w:b/>
          <w:bCs/>
          <w:sz w:val="44"/>
        </w:rPr>
      </w:pPr>
    </w:p>
    <w:p>
      <w:pPr>
        <w:spacing w:line="400" w:lineRule="atLeast"/>
        <w:ind w:left="2" w:leftChars="1" w:firstLine="3080" w:firstLineChars="700"/>
        <w:rPr>
          <w:rFonts w:ascii="仿宋" w:hAnsi="仿宋" w:eastAsia="仿宋"/>
          <w:b/>
          <w:bCs/>
          <w:sz w:val="44"/>
        </w:rPr>
      </w:pPr>
    </w:p>
    <w:p>
      <w:pPr>
        <w:snapToGrid w:val="0"/>
        <w:spacing w:afterLines="50"/>
        <w:ind w:left="840" w:leftChars="400"/>
        <w:jc w:val="left"/>
        <w:rPr>
          <w:rFonts w:ascii="仿宋" w:hAnsi="仿宋" w:eastAsia="仿宋"/>
          <w:bCs/>
          <w:sz w:val="32"/>
          <w:szCs w:val="32"/>
          <w:u w:val="single"/>
        </w:rPr>
      </w:pPr>
      <w:r>
        <w:rPr>
          <w:rFonts w:hint="eastAsia" w:ascii="仿宋" w:hAnsi="仿宋" w:eastAsia="仿宋"/>
          <w:b/>
          <w:bCs/>
          <w:sz w:val="32"/>
          <w:szCs w:val="32"/>
        </w:rPr>
        <w:t>姓名与学号</w:t>
      </w:r>
      <w:r>
        <w:rPr>
          <w:rFonts w:hint="eastAsia" w:ascii="仿宋" w:hAnsi="仿宋" w:eastAsia="仿宋"/>
          <w:bCs/>
          <w:sz w:val="32"/>
          <w:szCs w:val="32"/>
        </w:rPr>
        <w:tab/>
      </w:r>
      <w:r>
        <w:rPr>
          <w:rFonts w:hint="eastAsia" w:ascii="仿宋" w:hAnsi="仿宋" w:eastAsia="仿宋"/>
          <w:bCs/>
          <w:sz w:val="32"/>
          <w:szCs w:val="32"/>
          <w:u w:val="single"/>
        </w:rPr>
        <w:t xml:space="preserve">      </w:t>
      </w:r>
      <w:r>
        <w:rPr>
          <w:rFonts w:hint="eastAsia" w:ascii="仿宋" w:hAnsi="仿宋" w:eastAsia="仿宋"/>
          <w:bCs/>
          <w:sz w:val="32"/>
          <w:szCs w:val="32"/>
          <w:u w:val="single"/>
          <w:lang w:val="en-US" w:eastAsia="zh-CN"/>
        </w:rPr>
        <w:t xml:space="preserve">                 </w:t>
      </w:r>
      <w:r>
        <w:rPr>
          <w:rFonts w:hint="eastAsia" w:ascii="仿宋" w:hAnsi="仿宋" w:eastAsia="仿宋"/>
          <w:bCs/>
          <w:sz w:val="32"/>
          <w:szCs w:val="32"/>
          <w:u w:val="single"/>
        </w:rPr>
        <w:t xml:space="preserve">    </w:t>
      </w:r>
      <w:r>
        <w:rPr>
          <w:rFonts w:hint="eastAsia" w:ascii="仿宋" w:hAnsi="仿宋" w:eastAsia="仿宋"/>
          <w:bCs/>
          <w:sz w:val="32"/>
          <w:szCs w:val="32"/>
          <w:u w:val="single"/>
          <w:lang w:val="en-US" w:eastAsia="zh-CN"/>
        </w:rPr>
        <w:t xml:space="preserve"> </w:t>
      </w:r>
      <w:r>
        <w:rPr>
          <w:rFonts w:hint="eastAsia" w:ascii="仿宋" w:hAnsi="仿宋" w:eastAsia="仿宋"/>
          <w:bCs/>
          <w:sz w:val="32"/>
          <w:szCs w:val="32"/>
          <w:u w:val="single"/>
        </w:rPr>
        <w:t xml:space="preserve">    </w:t>
      </w:r>
    </w:p>
    <w:p>
      <w:pPr>
        <w:snapToGrid w:val="0"/>
        <w:spacing w:afterLines="50"/>
        <w:ind w:left="840" w:leftChars="400"/>
        <w:jc w:val="left"/>
        <w:rPr>
          <w:rFonts w:ascii="仿宋" w:hAnsi="仿宋" w:eastAsia="仿宋"/>
          <w:bCs/>
          <w:sz w:val="32"/>
          <w:u w:val="single"/>
        </w:rPr>
      </w:pPr>
      <w:r>
        <w:rPr>
          <w:rFonts w:hint="eastAsia" w:ascii="仿宋" w:hAnsi="仿宋" w:eastAsia="仿宋"/>
          <w:b/>
          <w:bCs/>
          <w:sz w:val="32"/>
        </w:rPr>
        <w:t>指导教师</w:t>
      </w:r>
      <w:r>
        <w:rPr>
          <w:rFonts w:hint="eastAsia" w:ascii="仿宋" w:hAnsi="仿宋" w:eastAsia="仿宋"/>
          <w:b/>
          <w:bCs/>
          <w:sz w:val="32"/>
        </w:rPr>
        <w:tab/>
      </w:r>
      <w:r>
        <w:rPr>
          <w:rFonts w:hint="eastAsia" w:ascii="仿宋" w:hAnsi="仿宋" w:eastAsia="仿宋"/>
          <w:bCs/>
          <w:sz w:val="32"/>
          <w:u w:val="single"/>
        </w:rPr>
        <w:t xml:space="preserve">                           </w:t>
      </w:r>
      <w:r>
        <w:rPr>
          <w:rFonts w:hint="eastAsia" w:ascii="仿宋" w:hAnsi="仿宋" w:eastAsia="仿宋"/>
          <w:bCs/>
          <w:sz w:val="32"/>
          <w:u w:val="single"/>
          <w:lang w:val="en-US" w:eastAsia="zh-CN"/>
        </w:rPr>
        <w:t xml:space="preserve"> </w:t>
      </w:r>
      <w:r>
        <w:rPr>
          <w:rFonts w:hint="eastAsia" w:ascii="仿宋" w:hAnsi="仿宋" w:eastAsia="仿宋"/>
          <w:bCs/>
          <w:sz w:val="32"/>
          <w:u w:val="single"/>
        </w:rPr>
        <w:t xml:space="preserve">    </w:t>
      </w:r>
    </w:p>
    <w:p>
      <w:pPr>
        <w:snapToGrid w:val="0"/>
        <w:spacing w:afterLines="50"/>
        <w:ind w:left="840" w:leftChars="400"/>
        <w:jc w:val="left"/>
        <w:rPr>
          <w:rFonts w:ascii="仿宋" w:hAnsi="仿宋" w:eastAsia="仿宋"/>
          <w:bCs/>
          <w:sz w:val="32"/>
          <w:u w:val="single"/>
        </w:rPr>
      </w:pPr>
      <w:r>
        <w:rPr>
          <w:rFonts w:hint="eastAsia" w:ascii="仿宋" w:hAnsi="仿宋" w:eastAsia="仿宋"/>
          <w:b/>
          <w:bCs/>
          <w:sz w:val="32"/>
        </w:rPr>
        <w:t>年级与专业</w:t>
      </w:r>
      <w:r>
        <w:rPr>
          <w:rFonts w:hint="eastAsia" w:ascii="仿宋" w:hAnsi="仿宋" w:eastAsia="仿宋"/>
          <w:b/>
          <w:bCs/>
          <w:sz w:val="32"/>
        </w:rPr>
        <w:tab/>
      </w:r>
      <w:r>
        <w:rPr>
          <w:rFonts w:hint="eastAsia" w:ascii="仿宋" w:hAnsi="仿宋" w:eastAsia="仿宋"/>
          <w:bCs/>
          <w:sz w:val="32"/>
          <w:u w:val="single"/>
        </w:rPr>
        <w:t xml:space="preserve">       </w:t>
      </w:r>
      <w:r>
        <w:rPr>
          <w:rFonts w:hint="eastAsia" w:ascii="仿宋" w:hAnsi="仿宋" w:eastAsia="仿宋"/>
          <w:bCs/>
          <w:sz w:val="32"/>
          <w:u w:val="single"/>
          <w:lang w:val="en-US" w:eastAsia="zh-CN"/>
        </w:rPr>
        <w:t xml:space="preserve">             </w:t>
      </w:r>
      <w:r>
        <w:rPr>
          <w:rFonts w:hint="eastAsia" w:ascii="仿宋" w:hAnsi="仿宋" w:eastAsia="仿宋"/>
          <w:bCs/>
          <w:sz w:val="32"/>
          <w:u w:val="single"/>
        </w:rPr>
        <w:t xml:space="preserve">         </w:t>
      </w:r>
      <w:r>
        <w:rPr>
          <w:rFonts w:hint="eastAsia" w:ascii="仿宋" w:hAnsi="仿宋" w:eastAsia="仿宋"/>
          <w:bCs/>
          <w:sz w:val="32"/>
          <w:u w:val="single"/>
          <w:lang w:val="en-US" w:eastAsia="zh-CN"/>
        </w:rPr>
        <w:t xml:space="preserve"> </w:t>
      </w:r>
      <w:r>
        <w:rPr>
          <w:rFonts w:hint="eastAsia" w:ascii="仿宋" w:hAnsi="仿宋" w:eastAsia="仿宋"/>
          <w:bCs/>
          <w:sz w:val="32"/>
          <w:u w:val="single"/>
        </w:rPr>
        <w:t xml:space="preserve">  </w:t>
      </w:r>
    </w:p>
    <w:p>
      <w:pPr>
        <w:snapToGrid w:val="0"/>
        <w:spacing w:afterLines="50"/>
        <w:ind w:left="840" w:leftChars="400"/>
        <w:jc w:val="left"/>
        <w:rPr>
          <w:rFonts w:ascii="仿宋" w:hAnsi="仿宋" w:eastAsia="仿宋"/>
          <w:b/>
          <w:bCs/>
          <w:sz w:val="30"/>
          <w:szCs w:val="30"/>
          <w:u w:val="single"/>
        </w:rPr>
      </w:pPr>
      <w:r>
        <w:rPr>
          <w:rFonts w:hint="eastAsia" w:ascii="仿宋" w:hAnsi="仿宋" w:eastAsia="仿宋"/>
          <w:b/>
          <w:bCs/>
          <w:sz w:val="32"/>
        </w:rPr>
        <w:t>所在学院</w:t>
      </w:r>
      <w:r>
        <w:rPr>
          <w:rFonts w:hint="eastAsia" w:ascii="仿宋" w:hAnsi="仿宋" w:eastAsia="仿宋"/>
          <w:b/>
          <w:bCs/>
          <w:sz w:val="30"/>
          <w:szCs w:val="30"/>
        </w:rPr>
        <w:tab/>
      </w:r>
      <w:r>
        <w:rPr>
          <w:rFonts w:hint="eastAsia" w:ascii="仿宋" w:hAnsi="仿宋" w:eastAsia="仿宋"/>
          <w:bCs/>
          <w:sz w:val="32"/>
          <w:szCs w:val="30"/>
          <w:u w:val="single"/>
        </w:rPr>
        <w:t xml:space="preserve">  </w:t>
      </w:r>
      <w:r>
        <w:rPr>
          <w:rFonts w:hint="eastAsia" w:ascii="仿宋" w:hAnsi="仿宋" w:eastAsia="仿宋"/>
          <w:bCs/>
          <w:sz w:val="32"/>
          <w:szCs w:val="30"/>
          <w:u w:val="single"/>
          <w:lang w:val="en-US" w:eastAsia="zh-CN"/>
        </w:rPr>
        <w:t xml:space="preserve">                           </w:t>
      </w:r>
      <w:r>
        <w:rPr>
          <w:rFonts w:hint="eastAsia" w:ascii="仿宋" w:hAnsi="仿宋" w:eastAsia="仿宋"/>
          <w:bCs/>
          <w:sz w:val="32"/>
          <w:szCs w:val="30"/>
          <w:u w:val="single"/>
        </w:rPr>
        <w:t xml:space="preserve">   </w:t>
      </w:r>
    </w:p>
    <w:p>
      <w:pPr>
        <w:snapToGrid w:val="0"/>
        <w:ind w:left="840" w:leftChars="400"/>
        <w:jc w:val="left"/>
        <w:rPr>
          <w:rFonts w:ascii="仿宋" w:hAnsi="仿宋" w:eastAsia="仿宋"/>
          <w:b/>
          <w:bCs/>
          <w:sz w:val="30"/>
          <w:szCs w:val="30"/>
          <w:u w:val="single"/>
        </w:rPr>
      </w:pPr>
    </w:p>
    <w:p>
      <w:pPr>
        <w:snapToGrid w:val="0"/>
        <w:ind w:left="840" w:leftChars="400"/>
        <w:jc w:val="left"/>
        <w:rPr>
          <w:rFonts w:eastAsia="仿宋"/>
          <w:kern w:val="0"/>
          <w:sz w:val="24"/>
        </w:rPr>
        <w:sectPr>
          <w:headerReference r:id="rId5" w:type="default"/>
          <w:footerReference r:id="rId7" w:type="default"/>
          <w:headerReference r:id="rId6" w:type="even"/>
          <w:footerReference r:id="rId8" w:type="even"/>
          <w:type w:val="oddPage"/>
          <w:pgSz w:w="11906" w:h="16838"/>
          <w:pgMar w:top="1440" w:right="1797" w:bottom="1440" w:left="1797" w:header="1191" w:footer="680" w:gutter="0"/>
          <w:pgNumType w:fmt="upperRoman"/>
          <w:cols w:space="425" w:num="1"/>
          <w:docGrid w:type="linesAndChars" w:linePitch="312" w:charSpace="0"/>
        </w:sectPr>
      </w:pPr>
      <w:r>
        <w:rPr>
          <w:rFonts w:hint="eastAsia" w:ascii="仿宋" w:hAnsi="仿宋" w:eastAsia="仿宋"/>
          <w:b/>
          <w:bCs/>
          <w:sz w:val="32"/>
        </w:rPr>
        <w:t>提交日期</w:t>
      </w:r>
      <w:r>
        <w:rPr>
          <w:rFonts w:hint="eastAsia" w:ascii="仿宋" w:hAnsi="仿宋" w:eastAsia="仿宋"/>
          <w:b/>
          <w:bCs/>
          <w:sz w:val="30"/>
          <w:szCs w:val="30"/>
        </w:rPr>
        <w:tab/>
      </w:r>
      <w:r>
        <w:rPr>
          <w:rFonts w:hint="eastAsia" w:ascii="仿宋" w:hAnsi="仿宋" w:eastAsia="仿宋"/>
          <w:bCs/>
          <w:sz w:val="32"/>
          <w:szCs w:val="30"/>
          <w:u w:val="single"/>
        </w:rPr>
        <w:t xml:space="preserve">                     </w:t>
      </w:r>
      <w:r>
        <w:rPr>
          <w:rFonts w:hint="eastAsia" w:ascii="仿宋" w:hAnsi="仿宋" w:eastAsia="仿宋"/>
          <w:bCs/>
          <w:sz w:val="32"/>
          <w:szCs w:val="30"/>
          <w:u w:val="single"/>
          <w:lang w:val="en-US" w:eastAsia="zh-CN"/>
        </w:rPr>
        <w:t xml:space="preserve">     </w:t>
      </w:r>
      <w:bookmarkStart w:id="11" w:name="_GoBack"/>
      <w:bookmarkEnd w:id="11"/>
      <w:r>
        <w:rPr>
          <w:rFonts w:hint="eastAsia" w:ascii="仿宋" w:hAnsi="仿宋" w:eastAsia="仿宋"/>
          <w:bCs/>
          <w:sz w:val="32"/>
          <w:szCs w:val="30"/>
          <w:u w:val="single"/>
        </w:rPr>
        <w:t xml:space="preserve">      </w:t>
      </w:r>
    </w:p>
    <w:p>
      <w:pPr>
        <w:spacing w:beforeLines="50" w:afterLines="50"/>
        <w:jc w:val="center"/>
        <w:rPr>
          <w:rFonts w:eastAsia="仿宋"/>
          <w:b/>
          <w:bCs/>
          <w:sz w:val="32"/>
        </w:rPr>
      </w:pPr>
      <w:r>
        <w:rPr>
          <w:rFonts w:hint="eastAsia" w:eastAsia="仿宋"/>
          <w:b/>
          <w:sz w:val="32"/>
        </w:rPr>
        <w:t>摘要</w:t>
      </w:r>
    </w:p>
    <w:p>
      <w:pPr>
        <w:ind w:firstLine="480" w:firstLineChars="200"/>
        <w:rPr>
          <w:rFonts w:eastAsia="仿宋"/>
          <w:kern w:val="0"/>
          <w:sz w:val="24"/>
        </w:rPr>
      </w:pPr>
      <w:r>
        <w:rPr>
          <w:rFonts w:hint="eastAsia" w:eastAsia="仿宋"/>
          <w:kern w:val="0"/>
          <w:sz w:val="24"/>
        </w:rPr>
        <w:t>本文回顾了改革开放以来中国农村地区的发展变化，特别关注了恩施市硒产业在农村振兴中的作用。自1978年改革开放政策实施以来，中国经济实现了快速增长，农村地区也发生了深刻变化。恩施，作为“世界硒都”，充分利用其丰富的硒资源，将硒产业作为推动地方经济发展的重要战略。通过发展硒矿开采、硒农产品生产、硒保健品制造等多个领域，恩施不仅提升了自身的经济实力，而且为农村振兴提供了新的动力和方向。文章还探讨了三产融合对农村振兴的影响，硒产业面临的挑战与机遇，以及未来展望。恩施的经验表明，依托地方特色资源发展特色产业是实现农村振兴的有效途径，为中国乃至其他国家的农村地区提供了宝贵的经验和启示。</w:t>
      </w:r>
    </w:p>
    <w:p>
      <w:pPr>
        <w:rPr>
          <w:rFonts w:eastAsia="仿宋"/>
          <w:kern w:val="0"/>
          <w:sz w:val="24"/>
        </w:rPr>
      </w:pPr>
      <w:r>
        <w:rPr>
          <w:rFonts w:hint="eastAsia" w:eastAsia="仿宋"/>
          <w:b/>
          <w:kern w:val="0"/>
          <w:sz w:val="24"/>
        </w:rPr>
        <w:t>关键词：</w:t>
      </w:r>
      <w:r>
        <w:rPr>
          <w:rFonts w:hint="eastAsia" w:eastAsia="仿宋"/>
          <w:b w:val="0"/>
          <w:bCs/>
          <w:kern w:val="0"/>
          <w:sz w:val="24"/>
        </w:rPr>
        <w:t>改革开放</w:t>
      </w:r>
      <w:r>
        <w:rPr>
          <w:rFonts w:hint="eastAsia" w:eastAsia="仿宋"/>
          <w:b w:val="0"/>
          <w:bCs/>
          <w:kern w:val="0"/>
          <w:sz w:val="24"/>
          <w:lang w:eastAsia="zh-CN"/>
        </w:rPr>
        <w:t>；</w:t>
      </w:r>
      <w:r>
        <w:rPr>
          <w:rFonts w:hint="eastAsia" w:eastAsia="仿宋"/>
          <w:b w:val="0"/>
          <w:bCs/>
          <w:kern w:val="0"/>
          <w:sz w:val="24"/>
        </w:rPr>
        <w:t>乡村振兴</w:t>
      </w:r>
      <w:r>
        <w:rPr>
          <w:rFonts w:hint="eastAsia" w:eastAsia="仿宋"/>
          <w:b w:val="0"/>
          <w:bCs/>
          <w:kern w:val="0"/>
          <w:sz w:val="24"/>
          <w:lang w:eastAsia="zh-CN"/>
        </w:rPr>
        <w:t>；</w:t>
      </w:r>
      <w:r>
        <w:rPr>
          <w:rFonts w:hint="eastAsia" w:eastAsia="仿宋"/>
          <w:b w:val="0"/>
          <w:bCs/>
          <w:kern w:val="0"/>
          <w:sz w:val="24"/>
        </w:rPr>
        <w:t>恩施市</w:t>
      </w:r>
      <w:r>
        <w:rPr>
          <w:rFonts w:hint="eastAsia" w:eastAsia="仿宋"/>
          <w:b w:val="0"/>
          <w:bCs/>
          <w:kern w:val="0"/>
          <w:sz w:val="24"/>
          <w:lang w:eastAsia="zh-CN"/>
        </w:rPr>
        <w:t>；</w:t>
      </w:r>
      <w:r>
        <w:rPr>
          <w:rFonts w:hint="eastAsia" w:eastAsia="仿宋"/>
          <w:b w:val="0"/>
          <w:bCs/>
          <w:kern w:val="0"/>
          <w:sz w:val="24"/>
        </w:rPr>
        <w:t>硒产业</w:t>
      </w:r>
      <w:r>
        <w:rPr>
          <w:rFonts w:hint="eastAsia" w:eastAsia="仿宋"/>
          <w:b w:val="0"/>
          <w:bCs/>
          <w:kern w:val="0"/>
          <w:sz w:val="24"/>
          <w:lang w:eastAsia="zh-CN"/>
        </w:rPr>
        <w:t>；</w:t>
      </w:r>
      <w:r>
        <w:rPr>
          <w:rFonts w:hint="eastAsia" w:eastAsia="仿宋"/>
          <w:b w:val="0"/>
          <w:bCs/>
          <w:kern w:val="0"/>
          <w:sz w:val="24"/>
        </w:rPr>
        <w:t>三产融合</w:t>
      </w:r>
      <w:r>
        <w:rPr>
          <w:rFonts w:hint="eastAsia" w:eastAsia="仿宋"/>
          <w:b w:val="0"/>
          <w:bCs/>
          <w:kern w:val="0"/>
          <w:sz w:val="24"/>
          <w:lang w:eastAsia="zh-CN"/>
        </w:rPr>
        <w:t>；</w:t>
      </w:r>
      <w:r>
        <w:rPr>
          <w:rFonts w:hint="eastAsia" w:eastAsia="仿宋"/>
          <w:b w:val="0"/>
          <w:bCs/>
          <w:kern w:val="0"/>
          <w:sz w:val="24"/>
        </w:rPr>
        <w:t>可持续发展</w:t>
      </w:r>
    </w:p>
    <w:p>
      <w:pPr>
        <w:jc w:val="left"/>
        <w:rPr>
          <w:rFonts w:eastAsia="仿宋"/>
          <w:kern w:val="0"/>
          <w:sz w:val="24"/>
        </w:rPr>
        <w:sectPr>
          <w:headerReference r:id="rId9" w:type="default"/>
          <w:footerReference r:id="rId10" w:type="default"/>
          <w:type w:val="oddPage"/>
          <w:pgSz w:w="11906" w:h="16838"/>
          <w:pgMar w:top="1440" w:right="1797" w:bottom="1440" w:left="1797" w:header="1191" w:footer="680" w:gutter="0"/>
          <w:pgNumType w:fmt="upperRoman"/>
          <w:cols w:space="425" w:num="1"/>
          <w:docGrid w:type="linesAndChars" w:linePitch="312" w:charSpace="0"/>
        </w:sectPr>
      </w:pPr>
    </w:p>
    <w:p>
      <w:pPr>
        <w:spacing w:beforeLines="50" w:afterLines="50" w:line="240" w:lineRule="auto"/>
        <w:jc w:val="center"/>
        <w:rPr>
          <w:rFonts w:eastAsia="仿宋"/>
          <w:b/>
          <w:bCs/>
          <w:sz w:val="32"/>
        </w:rPr>
      </w:pPr>
      <w:r>
        <w:rPr>
          <w:rFonts w:eastAsia="仿宋"/>
          <w:b/>
          <w:bCs/>
          <w:sz w:val="32"/>
        </w:rPr>
        <w:t>Abstract</w:t>
      </w:r>
    </w:p>
    <w:p>
      <w:pPr>
        <w:ind w:firstLine="480" w:firstLineChars="200"/>
        <w:rPr>
          <w:rFonts w:eastAsia="仿宋"/>
          <w:b/>
          <w:sz w:val="24"/>
        </w:rPr>
      </w:pPr>
      <w:r>
        <w:rPr>
          <w:rFonts w:hint="eastAsia" w:eastAsia="仿宋"/>
          <w:sz w:val="24"/>
        </w:rPr>
        <w:t>This article reviews the development changes in rural areas of China since the reform and opening-up policy, with a particular focus on the role of the selenium industry in rural revitalization in Enshi. Since the implementation of the reform and opening-up policy in 1978, China's economy has achieved rapid growth, leading to profound changes in rural areas. Enshi, known as the "World Selenium Capital," has fully utilized its abundant selenium resources, taking the selenium industry as an important strategic driver for local economic development. By developing selenium mining, selenium agricultural product production, selenium health product manufacturing, and other areas, Enshi has not only enhanced its own economic strength but also provided new impetus and direction for rural revitalization. The article also explores the impact of the integration of the tertiary industry on rural revitalization, the challenges and opportunities facing the selenium industry, and future prospects. Enshi's experience demonstrates that developing characteristic industries based on local characteristic resources is an effective way to achieve rural revitalization, providing valuable experience and enlightenment for rural areas in China and other countries.</w:t>
      </w:r>
    </w:p>
    <w:p>
      <w:pPr>
        <w:rPr>
          <w:b w:val="0"/>
          <w:bCs/>
        </w:rPr>
        <w:sectPr>
          <w:headerReference r:id="rId11" w:type="even"/>
          <w:footerReference r:id="rId12" w:type="even"/>
          <w:type w:val="oddPage"/>
          <w:pgSz w:w="11906" w:h="16838"/>
          <w:pgMar w:top="1440" w:right="1797" w:bottom="1440" w:left="1797" w:header="1191" w:footer="680" w:gutter="0"/>
          <w:pgNumType w:fmt="upperRoman"/>
          <w:cols w:space="425" w:num="1"/>
          <w:docGrid w:type="linesAndChars" w:linePitch="312" w:charSpace="0"/>
        </w:sectPr>
      </w:pPr>
      <w:r>
        <w:rPr>
          <w:rFonts w:eastAsia="仿宋"/>
          <w:b/>
          <w:sz w:val="24"/>
        </w:rPr>
        <w:t>Keywords:</w:t>
      </w:r>
      <w:r>
        <w:rPr>
          <w:rFonts w:hint="eastAsia" w:eastAsia="仿宋"/>
          <w:b w:val="0"/>
          <w:bCs/>
          <w:sz w:val="24"/>
        </w:rPr>
        <w:t>reform and opening-up</w:t>
      </w:r>
      <w:r>
        <w:rPr>
          <w:rFonts w:hint="eastAsia" w:eastAsia="仿宋"/>
          <w:b w:val="0"/>
          <w:bCs/>
          <w:sz w:val="24"/>
          <w:lang w:val="en-US" w:eastAsia="zh-CN"/>
        </w:rPr>
        <w:t xml:space="preserve">; </w:t>
      </w:r>
      <w:r>
        <w:rPr>
          <w:rFonts w:hint="eastAsia" w:eastAsia="仿宋"/>
          <w:b w:val="0"/>
          <w:bCs/>
          <w:sz w:val="24"/>
        </w:rPr>
        <w:t>rural revitalization</w:t>
      </w:r>
      <w:r>
        <w:rPr>
          <w:rFonts w:hint="eastAsia" w:eastAsia="仿宋"/>
          <w:b w:val="0"/>
          <w:bCs/>
          <w:sz w:val="24"/>
          <w:lang w:val="en-US" w:eastAsia="zh-CN"/>
        </w:rPr>
        <w:t>;</w:t>
      </w:r>
      <w:r>
        <w:rPr>
          <w:rFonts w:hint="eastAsia" w:eastAsia="仿宋"/>
          <w:b w:val="0"/>
          <w:bCs/>
          <w:sz w:val="24"/>
        </w:rPr>
        <w:t xml:space="preserve"> Enshi City</w:t>
      </w:r>
      <w:r>
        <w:rPr>
          <w:rFonts w:hint="eastAsia" w:eastAsia="仿宋"/>
          <w:b w:val="0"/>
          <w:bCs/>
          <w:sz w:val="24"/>
          <w:lang w:val="en-US" w:eastAsia="zh-CN"/>
        </w:rPr>
        <w:t>;</w:t>
      </w:r>
      <w:r>
        <w:rPr>
          <w:rFonts w:hint="eastAsia" w:eastAsia="仿宋"/>
          <w:b w:val="0"/>
          <w:bCs/>
          <w:sz w:val="24"/>
        </w:rPr>
        <w:t xml:space="preserve"> selenium industry</w:t>
      </w:r>
      <w:r>
        <w:rPr>
          <w:rFonts w:hint="eastAsia" w:eastAsia="仿宋"/>
          <w:b w:val="0"/>
          <w:bCs/>
          <w:sz w:val="24"/>
          <w:lang w:val="en-US" w:eastAsia="zh-CN"/>
        </w:rPr>
        <w:t>;</w:t>
      </w:r>
      <w:r>
        <w:rPr>
          <w:rFonts w:hint="eastAsia" w:eastAsia="仿宋"/>
          <w:b w:val="0"/>
          <w:bCs/>
          <w:sz w:val="24"/>
        </w:rPr>
        <w:t xml:space="preserve"> integration of the tertiary industry</w:t>
      </w:r>
      <w:r>
        <w:rPr>
          <w:rFonts w:hint="eastAsia" w:eastAsia="仿宋"/>
          <w:b w:val="0"/>
          <w:bCs/>
          <w:sz w:val="24"/>
          <w:lang w:val="en-US" w:eastAsia="zh-CN"/>
        </w:rPr>
        <w:t>;</w:t>
      </w:r>
      <w:r>
        <w:rPr>
          <w:rFonts w:hint="eastAsia" w:eastAsia="仿宋"/>
          <w:b w:val="0"/>
          <w:bCs/>
          <w:sz w:val="24"/>
        </w:rPr>
        <w:t xml:space="preserve"> sustainable development</w:t>
      </w:r>
    </w:p>
    <w:p>
      <w:pPr>
        <w:pStyle w:val="2"/>
        <w:numPr>
          <w:ilvl w:val="0"/>
          <w:numId w:val="5"/>
        </w:numPr>
        <w:spacing w:before="156" w:after="156"/>
        <w:ind w:left="431" w:hanging="431"/>
      </w:pPr>
      <w:bookmarkStart w:id="0" w:name="_Toc515609042"/>
      <w:r>
        <w:rPr>
          <w:rFonts w:hint="eastAsia"/>
        </w:rPr>
        <w:t>绪论</w:t>
      </w:r>
      <w:bookmarkEnd w:id="0"/>
    </w:p>
    <w:p>
      <w:pPr>
        <w:ind w:firstLine="420" w:firstLineChars="0"/>
        <w:rPr>
          <w:rFonts w:hint="eastAsia" w:ascii="仿宋" w:hAnsi="仿宋" w:eastAsia="仿宋" w:cs="仿宋"/>
          <w:sz w:val="24"/>
          <w:szCs w:val="24"/>
        </w:rPr>
      </w:pPr>
      <w:r>
        <w:rPr>
          <w:rFonts w:hint="eastAsia" w:ascii="仿宋" w:hAnsi="仿宋" w:eastAsia="仿宋" w:cs="仿宋"/>
          <w:sz w:val="24"/>
          <w:szCs w:val="24"/>
        </w:rPr>
        <w:t>改革开放政策对中国经济社会发展产生了重大而深远的影响，不仅有力地驱动了全国经济的高速增长，更在农村地区引发了深刻的变革。自1978年起，这一政策的核心在于引进外资、强化技术交流、激活市场机制，从而全面提升生产力水平。对于农村地域来说，改革开放促使了产业结构的优化调整，加速了农业现代化进程，并显著提升了农民的生活质量。</w:t>
      </w:r>
    </w:p>
    <w:p>
      <w:pPr>
        <w:ind w:firstLine="420" w:firstLineChars="0"/>
        <w:rPr>
          <w:rFonts w:hint="eastAsia" w:ascii="仿宋" w:hAnsi="仿宋" w:eastAsia="仿宋" w:cs="仿宋"/>
          <w:sz w:val="24"/>
          <w:szCs w:val="24"/>
        </w:rPr>
      </w:pPr>
      <w:r>
        <w:rPr>
          <w:rFonts w:hint="eastAsia" w:ascii="仿宋" w:hAnsi="仿宋" w:eastAsia="仿宋" w:cs="仿宋"/>
          <w:sz w:val="24"/>
          <w:szCs w:val="24"/>
        </w:rPr>
        <w:t>在我所关注的中国各地受益于改革开放政策的实例中，首先映入脑海的</w:t>
      </w:r>
      <w:r>
        <w:rPr>
          <w:rFonts w:hint="eastAsia" w:ascii="仿宋" w:hAnsi="仿宋" w:eastAsia="仿宋" w:cs="仿宋"/>
          <w:sz w:val="24"/>
          <w:szCs w:val="24"/>
          <w:lang w:val="en-US" w:eastAsia="zh-CN"/>
        </w:rPr>
        <w:t>便</w:t>
      </w:r>
      <w:r>
        <w:rPr>
          <w:rFonts w:hint="eastAsia" w:ascii="仿宋" w:hAnsi="仿宋" w:eastAsia="仿宋" w:cs="仿宋"/>
          <w:sz w:val="24"/>
          <w:szCs w:val="24"/>
        </w:rPr>
        <w:t>是我的故乡——恩施。恩施</w:t>
      </w:r>
      <w:r>
        <w:rPr>
          <w:rFonts w:hint="eastAsia" w:ascii="仿宋" w:hAnsi="仿宋" w:eastAsia="仿宋" w:cs="仿宋"/>
          <w:sz w:val="24"/>
          <w:szCs w:val="24"/>
          <w:lang w:val="en-US" w:eastAsia="zh-CN"/>
        </w:rPr>
        <w:t>土家族苗族自治州</w:t>
      </w:r>
      <w:r>
        <w:rPr>
          <w:rFonts w:hint="eastAsia" w:ascii="仿宋" w:hAnsi="仿宋" w:eastAsia="仿宋" w:cs="仿宋"/>
          <w:sz w:val="24"/>
          <w:szCs w:val="24"/>
        </w:rPr>
        <w:t>，作为中国最年轻的少数民族自治州</w:t>
      </w:r>
      <w:r>
        <w:rPr>
          <w:rFonts w:hint="eastAsia" w:ascii="仿宋" w:hAnsi="仿宋" w:eastAsia="仿宋" w:cs="仿宋"/>
          <w:sz w:val="24"/>
          <w:szCs w:val="24"/>
          <w:lang w:val="en-US" w:eastAsia="zh-CN"/>
        </w:rPr>
        <w:t>之一</w:t>
      </w:r>
      <w:r>
        <w:rPr>
          <w:rFonts w:hint="eastAsia" w:ascii="仿宋" w:hAnsi="仿宋" w:eastAsia="仿宋" w:cs="仿宋"/>
          <w:sz w:val="24"/>
          <w:szCs w:val="24"/>
        </w:rPr>
        <w:t>，位于湖北省西南部，坐拥得天独厚的农业资源，诸如烟草、茶叶、魔芋、中药材及高山蔬菜等。经过不懈努力与奋斗，全州成功实现了109万贫困人口的脱贫，729个贫困村的出列，8个县市全部达到贫困县退出的标准和条件，从而完成了从全面贫困到全面小康的历史性跨越</w:t>
      </w:r>
      <w:r>
        <w:rPr>
          <w:rFonts w:hint="default" w:ascii="Times New Roman" w:hAnsi="Times New Roman" w:eastAsia="仿宋" w:cs="Times New Roman"/>
          <w:sz w:val="24"/>
          <w:szCs w:val="24"/>
          <w:vertAlign w:val="superscript"/>
          <w:lang w:val="en-US" w:eastAsia="zh-CN"/>
        </w:rPr>
        <w:t>[1]</w:t>
      </w:r>
      <w:r>
        <w:rPr>
          <w:rFonts w:hint="eastAsia" w:ascii="仿宋" w:hAnsi="仿宋" w:eastAsia="仿宋" w:cs="仿宋"/>
          <w:sz w:val="24"/>
          <w:szCs w:val="24"/>
        </w:rPr>
        <w:t>。</w:t>
      </w:r>
    </w:p>
    <w:p>
      <w:pPr>
        <w:ind w:firstLine="420" w:firstLineChars="0"/>
        <w:rPr>
          <w:rFonts w:hint="eastAsia" w:ascii="仿宋" w:hAnsi="仿宋" w:eastAsia="仿宋" w:cs="仿宋"/>
          <w:sz w:val="24"/>
          <w:szCs w:val="24"/>
        </w:rPr>
      </w:pPr>
      <w:r>
        <w:rPr>
          <w:rFonts w:hint="eastAsia" w:ascii="仿宋" w:hAnsi="仿宋" w:eastAsia="仿宋" w:cs="仿宋"/>
          <w:sz w:val="24"/>
          <w:szCs w:val="24"/>
        </w:rPr>
        <w:t>恩施的独特之处，在于其享有“世界硒都”的美誉。硒作为一种对人体健康至关重要的微量元素，恩施丰富的硒矿资源和广阔的硒农业基地，不仅为本地经济发展提供了强有力的支撑</w:t>
      </w:r>
      <w:r>
        <w:rPr>
          <w:rFonts w:hint="default" w:ascii="Times New Roman" w:hAnsi="Times New Roman" w:eastAsia="仿宋" w:cs="Times New Roman"/>
          <w:sz w:val="24"/>
          <w:szCs w:val="24"/>
          <w:vertAlign w:val="superscript"/>
          <w:lang w:val="en-US" w:eastAsia="zh-CN"/>
        </w:rPr>
        <w:t>[2]</w:t>
      </w:r>
      <w:r>
        <w:rPr>
          <w:rFonts w:hint="eastAsia" w:ascii="仿宋" w:hAnsi="仿宋" w:eastAsia="仿宋" w:cs="仿宋"/>
          <w:sz w:val="24"/>
          <w:szCs w:val="24"/>
        </w:rPr>
        <w:t>，还在推动农村振兴和实现可持续发展战略中扮演着关键角色。</w:t>
      </w:r>
    </w:p>
    <w:p>
      <w:pPr>
        <w:ind w:firstLine="420" w:firstLineChars="0"/>
        <w:rPr>
          <w:rFonts w:hint="eastAsia" w:ascii="仿宋" w:hAnsi="仿宋" w:eastAsia="仿宋" w:cs="仿宋"/>
          <w:sz w:val="24"/>
          <w:szCs w:val="24"/>
        </w:rPr>
      </w:pPr>
      <w:r>
        <w:rPr>
          <w:rFonts w:hint="eastAsia" w:ascii="仿宋" w:hAnsi="仿宋" w:eastAsia="仿宋" w:cs="仿宋"/>
          <w:sz w:val="24"/>
          <w:szCs w:val="24"/>
        </w:rPr>
        <w:t>随着改革开放政策的深入推进，恩施市立足自身优势，战略性地将硒产业发展定位为带动地方经济跃升的重要引擎。通过开掘硒矿资源、发展硒农产品生产、制造硒保健品等多个维度，恩施不仅增强了自身的经济实力，也为农村振兴注入了崭新的活力和发展导向。本文拟就改革开放政策背景下恩施硒产业的发展状况进行探讨，并分析该产业在促进农村振兴及实现区域可持续发展方面的积极作用及其影响。</w:t>
      </w:r>
    </w:p>
    <w:p>
      <w:pPr>
        <w:rPr>
          <w:rFonts w:hint="eastAsia" w:ascii="仿宋" w:hAnsi="仿宋" w:eastAsia="仿宋" w:cs="仿宋"/>
          <w:b/>
          <w:bCs/>
          <w:sz w:val="32"/>
          <w:szCs w:val="32"/>
          <w:lang w:val="en-US" w:eastAsia="zh-CN"/>
        </w:rPr>
      </w:pPr>
      <w:r>
        <w:rPr>
          <w:rFonts w:hint="eastAsia" w:ascii="仿宋" w:hAnsi="仿宋" w:eastAsia="仿宋" w:cs="仿宋"/>
          <w:b/>
          <w:bCs/>
          <w:sz w:val="32"/>
          <w:szCs w:val="32"/>
          <w:lang w:val="en-US" w:eastAsia="zh-CN"/>
        </w:rPr>
        <w:t>2 国内外乡村振兴策略与实践经验</w:t>
      </w:r>
    </w:p>
    <w:p>
      <w:pPr>
        <w:ind w:firstLine="420" w:firstLineChars="0"/>
        <w:rPr>
          <w:rFonts w:hint="default" w:ascii="仿宋" w:hAnsi="仿宋" w:eastAsia="仿宋" w:cs="仿宋"/>
          <w:b w:val="0"/>
          <w:bCs w:val="0"/>
          <w:sz w:val="24"/>
          <w:szCs w:val="24"/>
          <w:lang w:val="en-US" w:eastAsia="zh-CN"/>
        </w:rPr>
      </w:pPr>
      <w:r>
        <w:rPr>
          <w:rFonts w:hint="default" w:ascii="仿宋" w:hAnsi="仿宋" w:eastAsia="仿宋" w:cs="仿宋"/>
          <w:b w:val="0"/>
          <w:bCs w:val="0"/>
          <w:sz w:val="24"/>
          <w:szCs w:val="24"/>
          <w:lang w:val="en-US" w:eastAsia="zh-CN"/>
        </w:rPr>
        <w:t>在深入探讨恩施地区基于特色产业硒产业推动乡村振兴的具体实践之前，有必要回顾并借鉴国际及国内其他地区在激活农村发展潜力、促进乡村振兴方面的成功经验和典型模式，这些先行者的智慧结晶</w:t>
      </w:r>
      <w:r>
        <w:rPr>
          <w:rFonts w:hint="eastAsia" w:ascii="仿宋" w:hAnsi="仿宋" w:eastAsia="仿宋" w:cs="仿宋"/>
          <w:b w:val="0"/>
          <w:bCs w:val="0"/>
          <w:sz w:val="24"/>
          <w:szCs w:val="24"/>
          <w:lang w:val="en-US" w:eastAsia="zh-CN"/>
        </w:rPr>
        <w:t>能够</w:t>
      </w:r>
      <w:r>
        <w:rPr>
          <w:rFonts w:hint="default" w:ascii="仿宋" w:hAnsi="仿宋" w:eastAsia="仿宋" w:cs="仿宋"/>
          <w:b w:val="0"/>
          <w:bCs w:val="0"/>
          <w:sz w:val="24"/>
          <w:szCs w:val="24"/>
          <w:lang w:val="en-US" w:eastAsia="zh-CN"/>
        </w:rPr>
        <w:t>为我们提供审视和塑造恩施未来发展蓝图的重要镜鉴。</w:t>
      </w:r>
    </w:p>
    <w:p>
      <w:pPr>
        <w:ind w:firstLine="420" w:firstLineChars="0"/>
        <w:rPr>
          <w:rFonts w:hint="default" w:ascii="仿宋" w:hAnsi="仿宋" w:eastAsia="仿宋" w:cs="仿宋"/>
          <w:b w:val="0"/>
          <w:bCs w:val="0"/>
          <w:sz w:val="24"/>
          <w:szCs w:val="24"/>
          <w:lang w:val="en-US" w:eastAsia="zh-CN"/>
        </w:rPr>
      </w:pPr>
      <w:r>
        <w:rPr>
          <w:rFonts w:hint="default" w:ascii="仿宋" w:hAnsi="仿宋" w:eastAsia="仿宋" w:cs="仿宋"/>
          <w:b w:val="0"/>
          <w:bCs w:val="0"/>
          <w:sz w:val="24"/>
          <w:szCs w:val="24"/>
          <w:lang w:val="en-US" w:eastAsia="zh-CN"/>
        </w:rPr>
        <w:t>在全球范围内，城乡发展失衡的问题长期困扰着诸多国家和地区，导致了城乡间基础设施、公共服务和经济发展水平的巨大差距。为解决此类问题，许多国家和地区通过实施类似乡村振兴的发展战略，积极探索并积累了宝贵经验。其中，韩国的“新乡村运动”</w:t>
      </w:r>
      <w:r>
        <w:rPr>
          <w:rFonts w:hint="eastAsia" w:ascii="仿宋" w:hAnsi="仿宋" w:eastAsia="仿宋" w:cs="仿宋"/>
          <w:b w:val="0"/>
          <w:bCs w:val="0"/>
          <w:sz w:val="24"/>
          <w:szCs w:val="24"/>
          <w:lang w:val="en-US" w:eastAsia="zh-CN"/>
        </w:rPr>
        <w:t>以及</w:t>
      </w:r>
      <w:r>
        <w:rPr>
          <w:rFonts w:hint="default" w:ascii="仿宋" w:hAnsi="仿宋" w:eastAsia="仿宋" w:cs="仿宋"/>
          <w:b w:val="0"/>
          <w:bCs w:val="0"/>
          <w:sz w:val="24"/>
          <w:szCs w:val="24"/>
          <w:lang w:val="en-US" w:eastAsia="zh-CN"/>
        </w:rPr>
        <w:t>日本的“社区营造”，为我国当前乡村振兴战略提供了重要参考。</w:t>
      </w:r>
    </w:p>
    <w:p>
      <w:pPr>
        <w:pStyle w:val="3"/>
        <w:numPr>
          <w:ilvl w:val="1"/>
          <w:numId w:val="0"/>
        </w:numPr>
        <w:ind w:leftChars="0"/>
        <w:rPr>
          <w:rFonts w:hint="eastAsia" w:ascii="仿宋" w:hAnsi="仿宋" w:eastAsia="仿宋" w:cs="仿宋"/>
        </w:rPr>
      </w:pPr>
      <w:bookmarkStart w:id="1" w:name="_Toc515609043"/>
      <w:r>
        <w:rPr>
          <w:rFonts w:hint="eastAsia" w:ascii="仿宋" w:hAnsi="仿宋" w:eastAsia="仿宋" w:cs="仿宋"/>
          <w:lang w:val="en-US" w:eastAsia="zh-CN"/>
        </w:rPr>
        <w:t xml:space="preserve">2.1 </w:t>
      </w:r>
      <w:bookmarkEnd w:id="1"/>
      <w:r>
        <w:rPr>
          <w:rFonts w:hint="eastAsia" w:ascii="仿宋" w:hAnsi="仿宋" w:eastAsia="仿宋" w:cs="仿宋"/>
          <w:lang w:val="en-US" w:eastAsia="zh-CN"/>
        </w:rPr>
        <w:t>韩国“新乡村运动”的概述与启示</w:t>
      </w:r>
    </w:p>
    <w:p>
      <w:pPr>
        <w:pStyle w:val="35"/>
        <w:rPr>
          <w:rFonts w:hint="eastAsia" w:ascii="Times New Roman" w:eastAsia="仿宋"/>
          <w:sz w:val="24"/>
          <w:szCs w:val="24"/>
        </w:rPr>
      </w:pPr>
      <w:r>
        <w:rPr>
          <w:rFonts w:hint="eastAsia" w:ascii="Times New Roman" w:eastAsia="仿宋"/>
          <w:sz w:val="24"/>
          <w:szCs w:val="24"/>
        </w:rPr>
        <w:t>在20世纪70年代，韩国政府启动了一场深刻改变农村面貌的宏大社会改革运动——“新乡村运动”。这项深刻改变农村面貌的社会改革运动通过政府主导与农民自主参与相结合的方式，全方位推动了农村现代化进程</w:t>
      </w:r>
      <w:r>
        <w:rPr>
          <w:rFonts w:hint="eastAsia" w:ascii="Times New Roman" w:eastAsia="仿宋"/>
          <w:sz w:val="24"/>
          <w:szCs w:val="24"/>
          <w:vertAlign w:val="superscript"/>
          <w:lang w:val="en-US" w:eastAsia="zh-CN"/>
        </w:rPr>
        <w:t>[3]</w:t>
      </w:r>
      <w:r>
        <w:rPr>
          <w:rFonts w:hint="eastAsia" w:ascii="Times New Roman" w:eastAsia="仿宋"/>
          <w:sz w:val="24"/>
          <w:szCs w:val="24"/>
        </w:rPr>
        <w:t>。初期，政府着重于基础设施建设和农业科技升级，大幅度改善了农村的生活生产条件，提升了农产品的商品化水平。随着运动的深化，政府角色转变为引导和支持，注重农村教育、文化建设和农民自治能力的培养，通过一系列赋权法律和政策，切实提升了乡村的人文环境和公共服务质量。</w:t>
      </w:r>
    </w:p>
    <w:p>
      <w:pPr>
        <w:pStyle w:val="35"/>
        <w:ind w:left="0" w:leftChars="0" w:firstLine="0" w:firstLineChars="0"/>
      </w:pPr>
      <w:r>
        <w:drawing>
          <wp:inline distT="0" distB="0" distL="114300" distR="114300">
            <wp:extent cx="5270500" cy="40309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5270500" cy="4030980"/>
                    </a:xfrm>
                    <a:prstGeom prst="rect">
                      <a:avLst/>
                    </a:prstGeom>
                    <a:noFill/>
                    <a:ln>
                      <a:noFill/>
                    </a:ln>
                  </pic:spPr>
                </pic:pic>
              </a:graphicData>
            </a:graphic>
          </wp:inline>
        </w:drawing>
      </w:r>
    </w:p>
    <w:p>
      <w:pPr>
        <w:pStyle w:val="35"/>
        <w:jc w:val="center"/>
        <w:rPr>
          <w:rFonts w:hint="default" w:ascii="Times New Roman" w:hAnsi="Times New Roman" w:eastAsia="宋体" w:cs="Times New Roman"/>
          <w:b/>
          <w:bCs/>
          <w:lang w:val="en-US" w:eastAsia="zh-CN"/>
        </w:rPr>
      </w:pPr>
      <w:r>
        <w:rPr>
          <w:rFonts w:hint="default" w:ascii="Times New Roman" w:hAnsi="Times New Roman" w:cs="Times New Roman"/>
          <w:b/>
          <w:bCs/>
          <w:lang w:val="en-US" w:eastAsia="zh-CN"/>
        </w:rPr>
        <w:t>图1</w:t>
      </w:r>
      <w:r>
        <w:rPr>
          <w:rFonts w:hint="eastAsia" w:ascii="Times New Roman" w:cs="Times New Roman"/>
          <w:b/>
          <w:bCs/>
          <w:lang w:val="en-US" w:eastAsia="zh-CN"/>
        </w:rPr>
        <w:t xml:space="preserve"> 朴正熙视察新村建设</w:t>
      </w:r>
    </w:p>
    <w:p>
      <w:pPr>
        <w:pStyle w:val="35"/>
        <w:rPr>
          <w:rFonts w:hint="eastAsia" w:ascii="Times New Roman" w:eastAsia="仿宋"/>
          <w:sz w:val="24"/>
          <w:szCs w:val="24"/>
        </w:rPr>
      </w:pPr>
      <w:r>
        <w:rPr>
          <w:rFonts w:hint="eastAsia" w:ascii="Times New Roman" w:eastAsia="仿宋"/>
          <w:sz w:val="24"/>
          <w:szCs w:val="24"/>
        </w:rPr>
        <w:t>韩国政府在新乡村运动中的战略思维体现在两个关键层面：一是通过调整财税政策和加大农业投入，有效缩小城乡收入差距，数据显示，1972年至1978年间，农业开支比例由4%跃升至38%，这些资金主要用于农村基础设施建设、农民生活改善及农业专业化、机械化发展；二是提出并弘扬“新乡村精神”，强调勤勉、自助、合作，以此作为解决农村贫困和文化滞后问题的核心动力，并将其融入到国家精神之中。</w:t>
      </w:r>
    </w:p>
    <w:p>
      <w:pPr>
        <w:pStyle w:val="35"/>
        <w:rPr>
          <w:rFonts w:hint="eastAsia" w:ascii="Times New Roman" w:eastAsia="仿宋"/>
          <w:sz w:val="24"/>
          <w:szCs w:val="24"/>
        </w:rPr>
      </w:pPr>
      <w:r>
        <w:rPr>
          <w:rFonts w:hint="eastAsia" w:ascii="Times New Roman" w:eastAsia="仿宋"/>
          <w:sz w:val="24"/>
          <w:szCs w:val="24"/>
        </w:rPr>
        <w:t>实践操作上，新乡村运动采取多元化策略促进农民增收，包括农业内部的价格补贴、增产措施、农产品深加工和市场竞争力提升，以及农村工业化、乡村旅游等非农产业创收路径。同时，政府对农村基础设施建设给予了极高重视，不仅实现了农村的全面电气化，还大幅改善了交通、卫生、居住环境，构建起高效的农产品市场流通体系，打破了传统管控模式，形成了竞争有序的农产品市场。</w:t>
      </w:r>
    </w:p>
    <w:p>
      <w:pPr>
        <w:pStyle w:val="35"/>
        <w:rPr>
          <w:rFonts w:hint="eastAsia" w:ascii="Times New Roman" w:eastAsia="仿宋"/>
          <w:sz w:val="24"/>
          <w:szCs w:val="24"/>
        </w:rPr>
      </w:pPr>
      <w:r>
        <w:rPr>
          <w:rFonts w:hint="eastAsia" w:ascii="Times New Roman" w:eastAsia="仿宋"/>
          <w:sz w:val="24"/>
          <w:szCs w:val="24"/>
        </w:rPr>
        <w:t>另外，韩国构建了健全的农村及农业服务体系，通过中央的农业振兴厅及地方各级配套机构，形成科研、推广和培训一体化的服务网络，保障了农业资源的高效配置和使用。最后，新乡村运动尤其注重农民的精神教育和素质提升，以国民精神教育为基础，推动农民思想现代化转变，通过系统性的教育与培训，增强农民的伦理意识和社会责任。</w:t>
      </w:r>
    </w:p>
    <w:p>
      <w:pPr>
        <w:pStyle w:val="35"/>
        <w:rPr>
          <w:rFonts w:hint="eastAsia" w:ascii="Times New Roman" w:eastAsia="仿宋"/>
          <w:sz w:val="24"/>
          <w:szCs w:val="24"/>
        </w:rPr>
      </w:pPr>
      <w:r>
        <w:rPr>
          <w:rFonts w:hint="eastAsia" w:ascii="Times New Roman" w:eastAsia="仿宋"/>
          <w:sz w:val="24"/>
          <w:szCs w:val="24"/>
        </w:rPr>
        <w:t>总结来说，韩国的新乡村运动作为一个综合而深远的农村振兴工程，通过全面的政策设计、基础设施改造、市场机制创新、服务体系优化以及农民精神文化建设等诸多手段，成功推进了农村的现代化转型，为全球范围内乡村振兴战略的实施提供了重要参考案例和实践经验。</w:t>
      </w:r>
    </w:p>
    <w:p>
      <w:pPr>
        <w:pStyle w:val="35"/>
        <w:ind w:left="0" w:leftChars="0" w:firstLine="0" w:firstLineChars="0"/>
        <w:rPr>
          <w:rFonts w:hint="eastAsia" w:ascii="仿宋" w:hAnsi="仿宋" w:eastAsia="仿宋" w:cs="仿宋"/>
          <w:b/>
          <w:bCs/>
          <w:sz w:val="30"/>
          <w:szCs w:val="30"/>
          <w:lang w:val="en-US" w:eastAsia="zh-CN"/>
        </w:rPr>
      </w:pPr>
      <w:r>
        <w:rPr>
          <w:rFonts w:hint="eastAsia" w:ascii="仿宋" w:hAnsi="仿宋" w:eastAsia="仿宋" w:cs="仿宋"/>
          <w:b/>
          <w:bCs/>
          <w:sz w:val="30"/>
          <w:szCs w:val="30"/>
          <w:lang w:val="en-US" w:eastAsia="zh-CN"/>
        </w:rPr>
        <w:t xml:space="preserve">2.2 日本“社区营造”理念与实践 </w:t>
      </w:r>
    </w:p>
    <w:p>
      <w:pPr>
        <w:pStyle w:val="35"/>
        <w:ind w:left="0" w:leftChars="0" w:firstLine="420" w:firstLineChars="0"/>
        <w:rPr>
          <w:rFonts w:hint="default" w:ascii="Times New Roman" w:eastAsia="仿宋"/>
          <w:sz w:val="24"/>
          <w:szCs w:val="24"/>
          <w:lang w:val="en-US" w:eastAsia="zh-CN"/>
        </w:rPr>
      </w:pPr>
      <w:r>
        <w:rPr>
          <w:rFonts w:hint="default" w:ascii="Times New Roman" w:eastAsia="仿宋"/>
          <w:sz w:val="24"/>
          <w:szCs w:val="24"/>
          <w:lang w:val="en-US" w:eastAsia="zh-CN"/>
        </w:rPr>
        <w:t>日本“社区营造”运动起源于民间力量，逐渐受到政府的关注和支持，与韩国“新乡村运动”有着相似的发展脉络。不同于韩国政府在初期阶段主导大规模基础设施建设及农业科技推广，日本“社区营造”更多是从居民自治和社区复兴的角度出发，强调尊重地方特色、挖掘社区资源，通过居民的自发组织和积极参与，实现社区环境的改善与社区生活的重建。</w:t>
      </w:r>
    </w:p>
    <w:p>
      <w:pPr>
        <w:pStyle w:val="35"/>
        <w:ind w:left="0" w:leftChars="0" w:firstLine="420" w:firstLineChars="0"/>
        <w:rPr>
          <w:rFonts w:hint="default" w:ascii="Times New Roman" w:eastAsia="仿宋"/>
          <w:sz w:val="24"/>
          <w:szCs w:val="24"/>
          <w:lang w:val="en-US" w:eastAsia="zh-CN"/>
        </w:rPr>
      </w:pPr>
      <w:r>
        <w:rPr>
          <w:rFonts w:hint="default" w:ascii="Times New Roman" w:eastAsia="仿宋"/>
          <w:sz w:val="24"/>
          <w:szCs w:val="24"/>
          <w:lang w:val="en-US" w:eastAsia="zh-CN"/>
        </w:rPr>
        <w:t>日本政府在“社区营造”过程中扮演的角色主要是政策引导者和法规保障者，而非直接的执行者</w:t>
      </w:r>
      <w:r>
        <w:rPr>
          <w:rFonts w:hint="eastAsia" w:ascii="Times New Roman" w:eastAsia="仿宋"/>
          <w:sz w:val="24"/>
          <w:szCs w:val="24"/>
          <w:vertAlign w:val="superscript"/>
          <w:lang w:val="en-US" w:eastAsia="zh-CN"/>
        </w:rPr>
        <w:t>[4]</w:t>
      </w:r>
      <w:r>
        <w:rPr>
          <w:rFonts w:hint="default" w:ascii="Times New Roman" w:eastAsia="仿宋"/>
          <w:sz w:val="24"/>
          <w:szCs w:val="24"/>
          <w:lang w:val="en-US" w:eastAsia="zh-CN"/>
        </w:rPr>
        <w:t>。他们通过一系列政策推动社区环境改善、产业升级以及公共设施建设，同时也鼓励社区成员发扬互助合作精神，培育社区自我管理与创新能力。日本“社区营造”特别注重传统文化的保护与传承，以及社区公共空间的重塑，这与韩国“新乡村运动”后期强调教育启蒙和文化建设有异曲同工之妙。</w:t>
      </w:r>
    </w:p>
    <w:p>
      <w:pPr>
        <w:jc w:val="center"/>
        <w:rPr>
          <w:rFonts w:hint="default" w:eastAsia="宋体"/>
          <w:b/>
          <w:szCs w:val="21"/>
          <w:lang w:val="en-US" w:eastAsia="zh-CN"/>
        </w:rPr>
      </w:pPr>
      <w:r>
        <w:rPr>
          <w:rFonts w:hint="eastAsia"/>
          <w:b/>
          <w:szCs w:val="21"/>
        </w:rPr>
        <w:t>表</w:t>
      </w:r>
      <w:r>
        <w:rPr>
          <w:b/>
          <w:szCs w:val="21"/>
        </w:rPr>
        <w:t>1</w:t>
      </w:r>
      <w:r>
        <w:rPr>
          <w:rFonts w:hint="eastAsia"/>
          <w:b/>
          <w:szCs w:val="21"/>
        </w:rPr>
        <w:t xml:space="preserve"> </w:t>
      </w:r>
      <w:r>
        <w:rPr>
          <w:rFonts w:hint="eastAsia"/>
          <w:b/>
          <w:szCs w:val="21"/>
          <w:lang w:val="en-US" w:eastAsia="zh-CN"/>
        </w:rPr>
        <w:t>三次新农村建设期间所颁布的主要法律</w:t>
      </w:r>
    </w:p>
    <w:tbl>
      <w:tblPr>
        <w:tblStyle w:val="26"/>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3"/>
        <w:gridCol w:w="6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3" w:type="dxa"/>
            <w:tcBorders>
              <w:top w:val="single" w:color="auto" w:sz="12" w:space="0"/>
              <w:left w:val="nil"/>
            </w:tcBorders>
            <w:shd w:val="clear" w:color="auto" w:fill="auto"/>
            <w:vAlign w:val="center"/>
          </w:tcPr>
          <w:p>
            <w:pPr>
              <w:spacing w:line="240" w:lineRule="auto"/>
              <w:jc w:val="center"/>
              <w:rPr>
                <w:rFonts w:hint="eastAsia" w:eastAsia="宋体"/>
                <w:szCs w:val="21"/>
                <w:lang w:val="en-US" w:eastAsia="zh-CN"/>
              </w:rPr>
            </w:pPr>
            <w:r>
              <w:rPr>
                <w:rFonts w:hint="eastAsia"/>
                <w:szCs w:val="21"/>
                <w:lang w:val="en-US" w:eastAsia="zh-CN"/>
              </w:rPr>
              <w:t>立法目的</w:t>
            </w:r>
          </w:p>
        </w:tc>
        <w:tc>
          <w:tcPr>
            <w:tcW w:w="6529" w:type="dxa"/>
            <w:tcBorders>
              <w:top w:val="single" w:color="auto" w:sz="12" w:space="0"/>
              <w:right w:val="nil"/>
            </w:tcBorders>
            <w:shd w:val="clear" w:color="auto" w:fill="auto"/>
            <w:vAlign w:val="center"/>
          </w:tcPr>
          <w:p>
            <w:pPr>
              <w:spacing w:line="240" w:lineRule="auto"/>
              <w:jc w:val="center"/>
              <w:rPr>
                <w:rFonts w:hint="default" w:eastAsia="宋体"/>
                <w:szCs w:val="21"/>
                <w:lang w:val="en-US" w:eastAsia="zh-CN"/>
              </w:rPr>
            </w:pPr>
            <w:r>
              <w:rPr>
                <w:rFonts w:hint="eastAsia"/>
                <w:szCs w:val="21"/>
                <w:lang w:val="en-US" w:eastAsia="zh-CN"/>
              </w:rPr>
              <w:t>立法时间和法律名称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3" w:type="dxa"/>
            <w:tcBorders>
              <w:left w:val="nil"/>
            </w:tcBorders>
            <w:shd w:val="clear" w:color="auto" w:fill="auto"/>
            <w:vAlign w:val="center"/>
          </w:tcPr>
          <w:p>
            <w:pPr>
              <w:spacing w:line="240" w:lineRule="auto"/>
              <w:jc w:val="center"/>
              <w:rPr>
                <w:szCs w:val="21"/>
              </w:rPr>
            </w:pPr>
            <w:r>
              <w:rPr>
                <w:rFonts w:hint="eastAsia"/>
              </w:rPr>
              <w:t>土地私有制</w:t>
            </w:r>
          </w:p>
        </w:tc>
        <w:tc>
          <w:tcPr>
            <w:tcW w:w="6529" w:type="dxa"/>
            <w:tcBorders>
              <w:right w:val="nil"/>
            </w:tcBorders>
            <w:shd w:val="clear" w:color="auto" w:fill="auto"/>
            <w:vAlign w:val="center"/>
          </w:tcPr>
          <w:p>
            <w:pPr>
              <w:spacing w:line="240" w:lineRule="auto"/>
              <w:jc w:val="left"/>
              <w:rPr>
                <w:b/>
                <w:szCs w:val="21"/>
              </w:rPr>
            </w:pPr>
            <w:r>
              <w:rPr>
                <w:rFonts w:hint="eastAsia"/>
              </w:rPr>
              <w:t>1946 年《自耕农创设特别措施法》《农地调整法改正法律案》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3" w:type="dxa"/>
            <w:tcBorders>
              <w:left w:val="nil"/>
            </w:tcBorders>
            <w:shd w:val="clear" w:color="auto" w:fill="auto"/>
            <w:vAlign w:val="center"/>
          </w:tcPr>
          <w:p>
            <w:pPr>
              <w:spacing w:line="240" w:lineRule="auto"/>
              <w:jc w:val="center"/>
              <w:rPr>
                <w:szCs w:val="21"/>
              </w:rPr>
            </w:pPr>
            <w:r>
              <w:rPr>
                <w:rFonts w:hint="eastAsia"/>
              </w:rPr>
              <w:t>建立农业协作社</w:t>
            </w:r>
          </w:p>
        </w:tc>
        <w:tc>
          <w:tcPr>
            <w:tcW w:w="6529" w:type="dxa"/>
            <w:tcBorders>
              <w:right w:val="nil"/>
            </w:tcBorders>
            <w:shd w:val="clear" w:color="auto" w:fill="auto"/>
            <w:vAlign w:val="center"/>
          </w:tcPr>
          <w:p>
            <w:pPr>
              <w:spacing w:line="240" w:lineRule="auto"/>
              <w:jc w:val="left"/>
              <w:rPr>
                <w:szCs w:val="21"/>
              </w:rPr>
            </w:pPr>
            <w:r>
              <w:rPr>
                <w:rFonts w:hint="eastAsia"/>
              </w:rPr>
              <w:t>1947 年《农业协同组合法》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3" w:type="dxa"/>
            <w:tcBorders>
              <w:left w:val="nil"/>
            </w:tcBorders>
            <w:shd w:val="clear" w:color="auto" w:fill="auto"/>
            <w:vAlign w:val="center"/>
          </w:tcPr>
          <w:p>
            <w:pPr>
              <w:spacing w:line="240" w:lineRule="auto"/>
              <w:jc w:val="center"/>
              <w:rPr>
                <w:szCs w:val="21"/>
              </w:rPr>
            </w:pPr>
            <w:r>
              <w:rPr>
                <w:rFonts w:hint="eastAsia"/>
              </w:rPr>
              <w:t>土地改良</w:t>
            </w:r>
          </w:p>
        </w:tc>
        <w:tc>
          <w:tcPr>
            <w:tcW w:w="6529" w:type="dxa"/>
            <w:tcBorders>
              <w:right w:val="nil"/>
            </w:tcBorders>
            <w:shd w:val="clear" w:color="auto" w:fill="auto"/>
            <w:vAlign w:val="center"/>
          </w:tcPr>
          <w:p>
            <w:pPr>
              <w:spacing w:line="240" w:lineRule="auto"/>
              <w:jc w:val="left"/>
              <w:rPr>
                <w:szCs w:val="21"/>
              </w:rPr>
            </w:pPr>
            <w:r>
              <w:rPr>
                <w:rFonts w:hint="eastAsia"/>
              </w:rPr>
              <w:t>1949 年《土地改良法》,1956 年《农业改良资金援助法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3" w:type="dxa"/>
            <w:tcBorders>
              <w:left w:val="nil"/>
            </w:tcBorders>
            <w:shd w:val="clear" w:color="auto" w:fill="auto"/>
            <w:vAlign w:val="center"/>
          </w:tcPr>
          <w:p>
            <w:pPr>
              <w:spacing w:line="240" w:lineRule="auto"/>
              <w:jc w:val="center"/>
              <w:rPr>
                <w:szCs w:val="21"/>
              </w:rPr>
            </w:pPr>
            <w:r>
              <w:rPr>
                <w:rFonts w:hint="eastAsia"/>
              </w:rPr>
              <w:t>农地管制</w:t>
            </w:r>
          </w:p>
        </w:tc>
        <w:tc>
          <w:tcPr>
            <w:tcW w:w="6529" w:type="dxa"/>
            <w:tcBorders>
              <w:right w:val="nil"/>
            </w:tcBorders>
            <w:shd w:val="clear" w:color="auto" w:fill="auto"/>
            <w:vAlign w:val="center"/>
          </w:tcPr>
          <w:p>
            <w:pPr>
              <w:spacing w:line="240" w:lineRule="auto"/>
              <w:jc w:val="left"/>
              <w:rPr>
                <w:szCs w:val="21"/>
              </w:rPr>
            </w:pPr>
            <w:r>
              <w:rPr>
                <w:rFonts w:hint="eastAsia"/>
              </w:rPr>
              <w:t>1952年《农地法》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3" w:type="dxa"/>
            <w:tcBorders>
              <w:left w:val="nil"/>
            </w:tcBorders>
            <w:shd w:val="clear" w:color="auto" w:fill="auto"/>
            <w:vAlign w:val="center"/>
          </w:tcPr>
          <w:p>
            <w:pPr>
              <w:spacing w:line="240" w:lineRule="auto"/>
              <w:jc w:val="center"/>
              <w:rPr>
                <w:rFonts w:hint="eastAsia"/>
              </w:rPr>
            </w:pPr>
            <w:r>
              <w:rPr>
                <w:rFonts w:hint="eastAsia"/>
              </w:rPr>
              <w:t>农村产业结构改革、农民增收农业现代化、社会保障、金融</w:t>
            </w:r>
          </w:p>
        </w:tc>
        <w:tc>
          <w:tcPr>
            <w:tcW w:w="6529" w:type="dxa"/>
            <w:tcBorders>
              <w:right w:val="nil"/>
            </w:tcBorders>
            <w:shd w:val="clear" w:color="auto" w:fill="auto"/>
            <w:vAlign w:val="center"/>
          </w:tcPr>
          <w:p>
            <w:pPr>
              <w:spacing w:line="240" w:lineRule="auto"/>
              <w:jc w:val="left"/>
              <w:rPr>
                <w:rFonts w:hint="eastAsia"/>
              </w:rPr>
            </w:pPr>
            <w:r>
              <w:rPr>
                <w:rFonts w:hint="eastAsia"/>
              </w:rPr>
              <w:t>1961 年《农业基本法》1963年《改善农林渔业经营结构融资制度》,1970 年《农业人养老金基金法》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3" w:type="dxa"/>
            <w:tcBorders>
              <w:left w:val="nil"/>
            </w:tcBorders>
            <w:shd w:val="clear" w:color="auto" w:fill="auto"/>
            <w:vAlign w:val="center"/>
          </w:tcPr>
          <w:p>
            <w:pPr>
              <w:spacing w:line="240" w:lineRule="auto"/>
              <w:jc w:val="center"/>
              <w:rPr>
                <w:rFonts w:hint="eastAsia"/>
              </w:rPr>
            </w:pPr>
            <w:r>
              <w:rPr>
                <w:rFonts w:hint="eastAsia"/>
              </w:rPr>
              <w:t>农业振兴</w:t>
            </w:r>
          </w:p>
        </w:tc>
        <w:tc>
          <w:tcPr>
            <w:tcW w:w="6529" w:type="dxa"/>
            <w:tcBorders>
              <w:right w:val="nil"/>
            </w:tcBorders>
            <w:shd w:val="clear" w:color="auto" w:fill="auto"/>
            <w:vAlign w:val="center"/>
          </w:tcPr>
          <w:p>
            <w:pPr>
              <w:spacing w:line="240" w:lineRule="auto"/>
              <w:jc w:val="left"/>
              <w:rPr>
                <w:rFonts w:hint="eastAsia"/>
              </w:rPr>
            </w:pPr>
            <w:r>
              <w:rPr>
                <w:rFonts w:hint="eastAsia"/>
              </w:rPr>
              <w:t>1971年《农村地区引入工业促进法》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3" w:type="dxa"/>
            <w:tcBorders>
              <w:left w:val="nil"/>
            </w:tcBorders>
            <w:shd w:val="clear" w:color="auto" w:fill="auto"/>
            <w:vAlign w:val="center"/>
          </w:tcPr>
          <w:p>
            <w:pPr>
              <w:spacing w:line="240" w:lineRule="auto"/>
              <w:jc w:val="center"/>
              <w:rPr>
                <w:rFonts w:hint="eastAsia"/>
              </w:rPr>
            </w:pPr>
            <w:r>
              <w:rPr>
                <w:rFonts w:hint="eastAsia"/>
              </w:rPr>
              <w:t>乡村发展与建设管理</w:t>
            </w:r>
          </w:p>
        </w:tc>
        <w:tc>
          <w:tcPr>
            <w:tcW w:w="6529" w:type="dxa"/>
            <w:tcBorders>
              <w:right w:val="nil"/>
            </w:tcBorders>
            <w:shd w:val="clear" w:color="auto" w:fill="auto"/>
            <w:vAlign w:val="center"/>
          </w:tcPr>
          <w:p>
            <w:pPr>
              <w:spacing w:line="240" w:lineRule="auto"/>
              <w:jc w:val="left"/>
              <w:rPr>
                <w:rFonts w:hint="eastAsia"/>
              </w:rPr>
            </w:pPr>
            <w:r>
              <w:rPr>
                <w:rFonts w:hint="eastAsia"/>
              </w:rPr>
              <w:t>1968 年《农业振兴地区整合建设法》、《城市计划法》,1974年《生产绿地法》,1976 年《国土利用计划法》1980 年《增进农用地利用法，1999 年《粮食、农业、农村基本法》1987 年《村落地区整治建设法》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3" w:type="dxa"/>
            <w:tcBorders>
              <w:left w:val="nil"/>
            </w:tcBorders>
            <w:shd w:val="clear" w:color="auto" w:fill="auto"/>
            <w:vAlign w:val="center"/>
          </w:tcPr>
          <w:p>
            <w:pPr>
              <w:spacing w:line="240" w:lineRule="auto"/>
              <w:jc w:val="center"/>
              <w:rPr>
                <w:rFonts w:hint="eastAsia"/>
              </w:rPr>
            </w:pPr>
            <w:r>
              <w:rPr>
                <w:rFonts w:hint="eastAsia"/>
              </w:rPr>
              <w:t>历史遗产保护</w:t>
            </w:r>
          </w:p>
        </w:tc>
        <w:tc>
          <w:tcPr>
            <w:tcW w:w="6529" w:type="dxa"/>
            <w:tcBorders>
              <w:right w:val="nil"/>
            </w:tcBorders>
            <w:shd w:val="clear" w:color="auto" w:fill="auto"/>
            <w:vAlign w:val="center"/>
          </w:tcPr>
          <w:p>
            <w:pPr>
              <w:spacing w:line="240" w:lineRule="auto"/>
              <w:jc w:val="left"/>
              <w:rPr>
                <w:rFonts w:hint="eastAsia"/>
              </w:rPr>
            </w:pPr>
            <w:r>
              <w:rPr>
                <w:rFonts w:hint="eastAsia"/>
              </w:rPr>
              <w:t>I950 年《文化财产保护法》1966 年《关于古都历史风土保存的特别措施法》2008 年《维护及改善地区历史风貌的相关法》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3" w:type="dxa"/>
            <w:tcBorders>
              <w:left w:val="nil"/>
            </w:tcBorders>
            <w:shd w:val="clear" w:color="auto" w:fill="auto"/>
            <w:vAlign w:val="center"/>
          </w:tcPr>
          <w:p>
            <w:pPr>
              <w:spacing w:line="240" w:lineRule="auto"/>
              <w:jc w:val="center"/>
              <w:rPr>
                <w:rFonts w:hint="eastAsia"/>
              </w:rPr>
            </w:pPr>
            <w:r>
              <w:rPr>
                <w:rFonts w:hint="eastAsia"/>
              </w:rPr>
              <w:t>生态保护</w:t>
            </w:r>
          </w:p>
        </w:tc>
        <w:tc>
          <w:tcPr>
            <w:tcW w:w="6529" w:type="dxa"/>
            <w:tcBorders>
              <w:right w:val="nil"/>
            </w:tcBorders>
            <w:shd w:val="clear" w:color="auto" w:fill="auto"/>
            <w:vAlign w:val="center"/>
          </w:tcPr>
          <w:p>
            <w:pPr>
              <w:spacing w:line="240" w:lineRule="auto"/>
              <w:jc w:val="left"/>
              <w:rPr>
                <w:rFonts w:hint="eastAsia"/>
              </w:rPr>
            </w:pPr>
            <w:r>
              <w:rPr>
                <w:rFonts w:hint="eastAsia"/>
              </w:rPr>
              <w:t>1951年《森林法》1967 年《自然公园法,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3" w:type="dxa"/>
            <w:tcBorders>
              <w:left w:val="nil"/>
            </w:tcBorders>
            <w:shd w:val="clear" w:color="auto" w:fill="auto"/>
            <w:vAlign w:val="center"/>
          </w:tcPr>
          <w:p>
            <w:pPr>
              <w:spacing w:line="240" w:lineRule="auto"/>
              <w:jc w:val="center"/>
              <w:rPr>
                <w:rFonts w:hint="eastAsia"/>
              </w:rPr>
            </w:pPr>
            <w:r>
              <w:rPr>
                <w:rFonts w:hint="eastAsia"/>
              </w:rPr>
              <w:t>优质住宅建设</w:t>
            </w:r>
          </w:p>
        </w:tc>
        <w:tc>
          <w:tcPr>
            <w:tcW w:w="6529" w:type="dxa"/>
            <w:tcBorders>
              <w:right w:val="nil"/>
            </w:tcBorders>
            <w:shd w:val="clear" w:color="auto" w:fill="auto"/>
            <w:vAlign w:val="center"/>
          </w:tcPr>
          <w:p>
            <w:pPr>
              <w:spacing w:line="240" w:lineRule="auto"/>
              <w:jc w:val="left"/>
              <w:rPr>
                <w:rFonts w:hint="eastAsia"/>
              </w:rPr>
            </w:pPr>
            <w:r>
              <w:rPr>
                <w:rFonts w:hint="eastAsia"/>
              </w:rPr>
              <w:t>1990 年《市民农园建设法》1999年《促进优质田园住宅法》2004 年《景观法》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3" w:type="dxa"/>
            <w:tcBorders>
              <w:left w:val="nil"/>
            </w:tcBorders>
            <w:shd w:val="clear" w:color="auto" w:fill="auto"/>
            <w:vAlign w:val="center"/>
          </w:tcPr>
          <w:p>
            <w:pPr>
              <w:spacing w:line="240" w:lineRule="auto"/>
              <w:jc w:val="center"/>
              <w:rPr>
                <w:rFonts w:hint="eastAsia"/>
              </w:rPr>
            </w:pPr>
            <w:r>
              <w:rPr>
                <w:rFonts w:hint="eastAsia"/>
              </w:rPr>
              <w:t>创造美好景观</w:t>
            </w:r>
          </w:p>
        </w:tc>
        <w:tc>
          <w:tcPr>
            <w:tcW w:w="6529" w:type="dxa"/>
            <w:tcBorders>
              <w:right w:val="nil"/>
            </w:tcBorders>
            <w:shd w:val="clear" w:color="auto" w:fill="auto"/>
            <w:vAlign w:val="center"/>
          </w:tcPr>
          <w:p>
            <w:pPr>
              <w:spacing w:line="240" w:lineRule="auto"/>
              <w:jc w:val="left"/>
              <w:rPr>
                <w:rFonts w:hint="eastAsia"/>
              </w:rPr>
            </w:pPr>
            <w:r>
              <w:rPr>
                <w:rFonts w:hint="eastAsia"/>
              </w:rPr>
              <w:t>1961 年《农业基本法》1963年《改善农林渔业经营结构融资制度》,1970 年《农业人养老金基金法》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3" w:type="dxa"/>
            <w:tcBorders>
              <w:left w:val="nil"/>
              <w:bottom w:val="single" w:color="auto" w:sz="12" w:space="0"/>
            </w:tcBorders>
            <w:shd w:val="clear" w:color="auto" w:fill="auto"/>
            <w:vAlign w:val="center"/>
          </w:tcPr>
          <w:p>
            <w:pPr>
              <w:spacing w:line="240" w:lineRule="auto"/>
              <w:jc w:val="center"/>
              <w:rPr>
                <w:rFonts w:hint="eastAsia"/>
              </w:rPr>
            </w:pPr>
            <w:r>
              <w:rPr>
                <w:rFonts w:hint="eastAsia"/>
              </w:rPr>
              <w:t>农村产业结构改革、农民增收农业现代化、社会保障、金融</w:t>
            </w:r>
          </w:p>
        </w:tc>
        <w:tc>
          <w:tcPr>
            <w:tcW w:w="6529" w:type="dxa"/>
            <w:tcBorders>
              <w:bottom w:val="single" w:color="auto" w:sz="12" w:space="0"/>
              <w:right w:val="nil"/>
            </w:tcBorders>
            <w:shd w:val="clear" w:color="auto" w:fill="auto"/>
            <w:vAlign w:val="center"/>
          </w:tcPr>
          <w:p>
            <w:pPr>
              <w:spacing w:line="240" w:lineRule="auto"/>
              <w:jc w:val="left"/>
              <w:rPr>
                <w:rFonts w:hint="eastAsia"/>
              </w:rPr>
            </w:pPr>
            <w:r>
              <w:rPr>
                <w:rFonts w:hint="eastAsia"/>
              </w:rPr>
              <w:t>1971年《农村地区引入工业促进法》</w:t>
            </w:r>
          </w:p>
        </w:tc>
      </w:tr>
    </w:tbl>
    <w:p>
      <w:pPr>
        <w:pStyle w:val="35"/>
        <w:ind w:left="0" w:leftChars="0" w:firstLine="0" w:firstLineChars="0"/>
        <w:rPr>
          <w:rFonts w:hint="default" w:ascii="Times New Roman" w:eastAsia="仿宋"/>
          <w:sz w:val="24"/>
          <w:szCs w:val="24"/>
          <w:lang w:val="en-US" w:eastAsia="zh-CN"/>
        </w:rPr>
      </w:pPr>
    </w:p>
    <w:p>
      <w:pPr>
        <w:pStyle w:val="35"/>
        <w:ind w:left="0" w:leftChars="0" w:firstLine="420" w:firstLineChars="0"/>
        <w:rPr>
          <w:rFonts w:hint="default" w:ascii="Times New Roman" w:eastAsia="仿宋"/>
          <w:sz w:val="24"/>
          <w:szCs w:val="24"/>
          <w:lang w:val="en-US" w:eastAsia="zh-CN"/>
        </w:rPr>
      </w:pPr>
      <w:r>
        <w:rPr>
          <w:rFonts w:hint="default" w:ascii="Times New Roman" w:eastAsia="仿宋"/>
          <w:sz w:val="24"/>
          <w:szCs w:val="24"/>
          <w:lang w:val="en-US" w:eastAsia="zh-CN"/>
        </w:rPr>
        <w:t>在具体措施上，日本“社区营造”着重于激活社区内部的活力，通过改善生活基础设施，如供水、排污设施、交通网络等，提升居民生活质量。同时，通过引导和协助社区发掘自身资源，发展具有地方特色的产业，提升产品附加值，从而拓宽居民收入来源，缩小城乡收入差距。此外，日本政府还通过建设完善的市场流通体系，保障农产品的顺畅流通，并建立起涵盖科研、推广和培训于一体的高效农业服务体系，为农村发展提供技术和智力支持。</w:t>
      </w:r>
    </w:p>
    <w:p>
      <w:pPr>
        <w:pStyle w:val="35"/>
        <w:ind w:left="0" w:leftChars="0" w:firstLine="420" w:firstLineChars="0"/>
        <w:rPr>
          <w:rFonts w:hint="default" w:ascii="Times New Roman" w:eastAsia="仿宋"/>
          <w:sz w:val="24"/>
          <w:szCs w:val="24"/>
          <w:lang w:val="en-US" w:eastAsia="zh-CN"/>
        </w:rPr>
      </w:pPr>
      <w:r>
        <w:rPr>
          <w:rFonts w:hint="default" w:ascii="Times New Roman" w:eastAsia="仿宋"/>
          <w:sz w:val="24"/>
          <w:szCs w:val="24"/>
          <w:lang w:val="en-US" w:eastAsia="zh-CN"/>
        </w:rPr>
        <w:t>尤为值得一提的是，日本“社区营造”运动在提升物质生活水平的同时，高度重视精神文化层面的建设，通过弘扬社区传统价值观，传承非物质文化遗产，加强社区成员间的凝聚力和认同感，培养富有社会责任感和乡土情怀的新一代农民，从而实现了社区从物质到精神层面的双重振兴。</w:t>
      </w:r>
    </w:p>
    <w:p>
      <w:pPr>
        <w:pStyle w:val="35"/>
        <w:ind w:left="0" w:leftChars="0" w:firstLine="0" w:firstLineChars="0"/>
        <w:rPr>
          <w:rFonts w:hint="eastAsia" w:ascii="Times New Roman" w:eastAsia="仿宋"/>
          <w:sz w:val="24"/>
          <w:szCs w:val="24"/>
          <w:lang w:val="en-US" w:eastAsia="zh-CN"/>
        </w:rPr>
      </w:pPr>
      <w:r>
        <w:rPr>
          <w:rFonts w:hint="eastAsia" w:ascii="仿宋" w:hAnsi="仿宋" w:eastAsia="仿宋" w:cs="仿宋"/>
          <w:b/>
          <w:bCs/>
          <w:sz w:val="30"/>
          <w:szCs w:val="30"/>
          <w:lang w:val="en-US" w:eastAsia="zh-CN"/>
        </w:rPr>
        <w:t>2.3 恩施乡村振兴战略的构建与实践导向</w:t>
      </w:r>
    </w:p>
    <w:p>
      <w:pPr>
        <w:pStyle w:val="35"/>
        <w:ind w:left="0" w:leftChars="0" w:firstLine="420" w:firstLineChars="0"/>
        <w:rPr>
          <w:rFonts w:hint="eastAsia" w:ascii="Times New Roman" w:eastAsia="仿宋"/>
          <w:sz w:val="24"/>
          <w:szCs w:val="24"/>
          <w:lang w:val="en-US" w:eastAsia="zh-CN"/>
        </w:rPr>
      </w:pPr>
      <w:r>
        <w:rPr>
          <w:rFonts w:hint="eastAsia" w:ascii="Times New Roman" w:eastAsia="仿宋"/>
          <w:sz w:val="24"/>
          <w:szCs w:val="24"/>
          <w:lang w:val="en-US" w:eastAsia="zh-CN"/>
        </w:rPr>
        <w:t>通过对韩国“新乡村运动”及日本“社区营造”模式的学习与借鉴，我们得以对恩施地区实施乡村振兴战略形成深刻而富有针对性的启示。在这一进程中，政府的角色不再仅限于政策框架的设计与执行，更需扮演积极的引导者与服务提供者的角色，在恩施的语境下，这意味着政府应携手农民共同参与乡村振兴建设，通过财政支持、政策引导和技术赋能，充分调动农民的积极性和创新潜能。</w:t>
      </w:r>
    </w:p>
    <w:p>
      <w:pPr>
        <w:pStyle w:val="35"/>
        <w:ind w:left="0" w:leftChars="0" w:firstLine="420" w:firstLineChars="0"/>
        <w:rPr>
          <w:rFonts w:hint="eastAsia" w:ascii="Times New Roman" w:eastAsia="仿宋"/>
          <w:sz w:val="24"/>
          <w:szCs w:val="24"/>
          <w:lang w:val="en-US" w:eastAsia="zh-CN"/>
        </w:rPr>
      </w:pPr>
      <w:r>
        <w:rPr>
          <w:rFonts w:hint="eastAsia" w:ascii="Times New Roman" w:eastAsia="仿宋"/>
          <w:sz w:val="24"/>
          <w:szCs w:val="24"/>
          <w:lang w:val="en-US" w:eastAsia="zh-CN"/>
        </w:rPr>
        <w:t>从基础设施和农业科技层面看，韩国“新乡村运动”强调了其对于乡村现代化进程的基础性支撑作用。恩施可参照此经验，加大对农村基础设施的投资力度，推动农业生产技术现代化转型，以切实改善农民的生活生产环境，奠定乡村振兴的坚实物质基础；与此同时，乡村振兴并不仅仅局限于经济增长，文化的传承与社区治理同样举足轻重。恩施可以学习日本“社区营造”的理念，加强对农民精神文化生活的培育，珍视和保护地方文化遗产，增强社区内部的凝聚力和自治能力，从而实现乡村振兴中人文精神的全面提升。</w:t>
      </w:r>
    </w:p>
    <w:p>
      <w:pPr>
        <w:pStyle w:val="35"/>
        <w:ind w:left="0" w:leftChars="0" w:firstLine="420" w:firstLineChars="0"/>
        <w:rPr>
          <w:rFonts w:hint="eastAsia" w:ascii="Times New Roman" w:eastAsia="仿宋"/>
          <w:sz w:val="24"/>
          <w:szCs w:val="24"/>
          <w:lang w:val="en-US" w:eastAsia="zh-CN"/>
        </w:rPr>
      </w:pPr>
      <w:r>
        <w:rPr>
          <w:rFonts w:hint="eastAsia" w:ascii="Times New Roman" w:eastAsia="仿宋"/>
          <w:sz w:val="24"/>
          <w:szCs w:val="24"/>
          <w:lang w:val="en-US" w:eastAsia="zh-CN"/>
        </w:rPr>
        <w:t>特色产业的发展，则是驱动乡村振兴、实现上述目标的关键动力之一。恩施地区得天独厚的硒资源为此提供了有利条件，应当充分利用这一优势，培育和发展具有本土特色的硒产业，提升产品附加值，拓宽农民收入渠道，从而在经济振兴的同时，亦能实现社会福祉的增进。</w:t>
      </w:r>
    </w:p>
    <w:p>
      <w:pPr>
        <w:pStyle w:val="35"/>
        <w:ind w:left="0" w:leftChars="0" w:firstLine="0" w:firstLineChars="0"/>
        <w:rPr>
          <w:rFonts w:hint="eastAsia" w:ascii="仿宋" w:hAnsi="仿宋" w:eastAsia="仿宋" w:cs="仿宋"/>
          <w:b/>
          <w:bCs/>
          <w:sz w:val="32"/>
          <w:szCs w:val="32"/>
          <w:lang w:val="en-US" w:eastAsia="zh-CN"/>
        </w:rPr>
      </w:pPr>
      <w:r>
        <w:rPr>
          <w:rFonts w:hint="eastAsia" w:ascii="仿宋" w:hAnsi="仿宋" w:eastAsia="仿宋" w:cs="仿宋"/>
          <w:b/>
          <w:bCs/>
          <w:sz w:val="32"/>
          <w:szCs w:val="32"/>
          <w:lang w:val="en-US" w:eastAsia="zh-CN"/>
        </w:rPr>
        <w:t>3 特色硒产业引导下的三产融合发展路径</w:t>
      </w:r>
    </w:p>
    <w:p>
      <w:pPr>
        <w:pStyle w:val="35"/>
        <w:ind w:left="0" w:leftChars="0" w:firstLine="420" w:firstLineChars="0"/>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恩施拥有“世界唯一探明的独立硒矿床”和“全球最大的天然富硒生物圈”, 被国际人与动物微量元素学术委员会(TEMA 14)授予“世界硒都”称号</w:t>
      </w:r>
      <w:r>
        <w:rPr>
          <w:rFonts w:hint="default" w:ascii="Times New Roman" w:hAnsi="Times New Roman" w:eastAsia="仿宋" w:cs="Times New Roman"/>
          <w:b w:val="0"/>
          <w:bCs w:val="0"/>
          <w:sz w:val="24"/>
          <w:szCs w:val="24"/>
          <w:vertAlign w:val="superscript"/>
          <w:lang w:val="en-US" w:eastAsia="zh-CN"/>
        </w:rPr>
        <w:t>[</w:t>
      </w:r>
      <w:r>
        <w:rPr>
          <w:rFonts w:hint="eastAsia" w:ascii="Times New Roman" w:eastAsia="仿宋" w:cs="Times New Roman"/>
          <w:b w:val="0"/>
          <w:bCs w:val="0"/>
          <w:sz w:val="24"/>
          <w:szCs w:val="24"/>
          <w:vertAlign w:val="superscript"/>
          <w:lang w:val="en-US" w:eastAsia="zh-CN"/>
        </w:rPr>
        <w:t>5</w:t>
      </w:r>
      <w:r>
        <w:rPr>
          <w:rFonts w:hint="default" w:ascii="Times New Roman" w:hAnsi="Times New Roman" w:eastAsia="仿宋" w:cs="Times New Roman"/>
          <w:b w:val="0"/>
          <w:bCs w:val="0"/>
          <w:sz w:val="24"/>
          <w:szCs w:val="24"/>
          <w:vertAlign w:val="superscript"/>
          <w:lang w:val="en-US" w:eastAsia="zh-CN"/>
        </w:rPr>
        <w:t>]</w:t>
      </w:r>
      <w:r>
        <w:rPr>
          <w:rFonts w:hint="eastAsia" w:ascii="仿宋" w:hAnsi="仿宋" w:eastAsia="仿宋" w:cs="仿宋"/>
          <w:b w:val="0"/>
          <w:bCs w:val="0"/>
          <w:sz w:val="24"/>
          <w:szCs w:val="24"/>
          <w:lang w:val="en-US" w:eastAsia="zh-CN"/>
        </w:rPr>
        <w:t>，这为恩施硒产业的发展提供了得天独厚的资源优势。2016年，恩施州地区生产总值中硒产业占比显著，产值高达382亿元人民币，显示出硒产业在当地经济结构中的重要地位。近年来，恩施州充分利用硒资源这一比较优势，围绕硒元素发展了一系列现代农业、特色加工业和乡村旅游产业，形成了“硒+X”发展模式</w:t>
      </w:r>
      <w:r>
        <w:rPr>
          <w:rFonts w:hint="default" w:ascii="Times New Roman" w:hAnsi="Times New Roman" w:eastAsia="仿宋" w:cs="Times New Roman"/>
          <w:b w:val="0"/>
          <w:bCs w:val="0"/>
          <w:sz w:val="24"/>
          <w:szCs w:val="24"/>
          <w:vertAlign w:val="superscript"/>
          <w:lang w:val="en-US" w:eastAsia="zh-CN"/>
        </w:rPr>
        <w:t>[6]</w:t>
      </w:r>
      <w:r>
        <w:rPr>
          <w:rFonts w:hint="eastAsia" w:ascii="仿宋" w:hAnsi="仿宋" w:eastAsia="仿宋" w:cs="仿宋"/>
          <w:b w:val="0"/>
          <w:bCs w:val="0"/>
          <w:sz w:val="24"/>
          <w:szCs w:val="24"/>
          <w:lang w:val="en-US" w:eastAsia="zh-CN"/>
        </w:rPr>
        <w:t>。</w:t>
      </w:r>
    </w:p>
    <w:p>
      <w:pPr>
        <w:pStyle w:val="35"/>
        <w:ind w:left="0" w:leftChars="0" w:firstLine="0" w:firstLineChars="0"/>
        <w:rPr>
          <w:rFonts w:hint="eastAsia" w:ascii="仿宋" w:hAnsi="仿宋" w:eastAsia="仿宋" w:cs="仿宋"/>
          <w:b/>
          <w:bCs/>
          <w:sz w:val="30"/>
          <w:szCs w:val="30"/>
          <w:lang w:val="en-US" w:eastAsia="zh-CN"/>
        </w:rPr>
      </w:pPr>
      <w:r>
        <w:rPr>
          <w:rFonts w:hint="eastAsia" w:ascii="仿宋" w:hAnsi="仿宋" w:eastAsia="仿宋" w:cs="仿宋"/>
          <w:b/>
          <w:bCs/>
          <w:sz w:val="30"/>
          <w:szCs w:val="30"/>
          <w:lang w:val="en-US" w:eastAsia="zh-CN"/>
        </w:rPr>
        <w:t>3.1 硒农业现代化与产业化</w:t>
      </w:r>
    </w:p>
    <w:p>
      <w:pPr>
        <w:pStyle w:val="35"/>
        <w:ind w:left="0" w:leftChars="0" w:firstLine="420" w:firstLineChars="0"/>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硒产业与农业的一产融合发展主要体现在硒农业的现代化与产业化进程上。恩施州依托其独特的富硒土壤和水资源，大力发展了马铃薯、蔬菜、中药材、茶叶、烟叶、干鲜果等六大富硒种植基地，并推动了“恩施黑猪”、“恩施黄牛”等特色硒禽畜养殖。</w:t>
      </w:r>
    </w:p>
    <w:p>
      <w:pPr>
        <w:pStyle w:val="35"/>
        <w:ind w:left="0" w:leftChars="0" w:firstLine="420" w:firstLineChars="0"/>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发展比较好的产业包括恩施硒茶，以恩施玉露为代表。恩施市现有茶园10.1万亩，其中无性系良种茶园占57%，位居湖北省第一，被省农业厅授予“湖北省良种茶园第一市”。现全市年产茶3256吨，产值7051万元</w:t>
      </w:r>
      <w:r>
        <w:rPr>
          <w:rFonts w:hint="default" w:ascii="Times New Roman" w:hAnsi="Times New Roman" w:eastAsia="仿宋" w:cs="Times New Roman"/>
          <w:b w:val="0"/>
          <w:bCs w:val="0"/>
          <w:sz w:val="24"/>
          <w:szCs w:val="24"/>
          <w:vertAlign w:val="superscript"/>
          <w:lang w:val="en-US" w:eastAsia="zh-CN"/>
        </w:rPr>
        <w:t>[</w:t>
      </w:r>
      <w:r>
        <w:rPr>
          <w:rFonts w:hint="eastAsia" w:ascii="Times New Roman" w:eastAsia="仿宋" w:cs="Times New Roman"/>
          <w:b w:val="0"/>
          <w:bCs w:val="0"/>
          <w:sz w:val="24"/>
          <w:szCs w:val="24"/>
          <w:vertAlign w:val="superscript"/>
          <w:lang w:val="en-US" w:eastAsia="zh-CN"/>
        </w:rPr>
        <w:t>7</w:t>
      </w:r>
      <w:r>
        <w:rPr>
          <w:rFonts w:hint="default" w:ascii="Times New Roman" w:hAnsi="Times New Roman" w:eastAsia="仿宋" w:cs="Times New Roman"/>
          <w:b w:val="0"/>
          <w:bCs w:val="0"/>
          <w:sz w:val="24"/>
          <w:szCs w:val="24"/>
          <w:vertAlign w:val="superscript"/>
          <w:lang w:val="en-US" w:eastAsia="zh-CN"/>
        </w:rPr>
        <w:t>]</w:t>
      </w:r>
      <w:r>
        <w:rPr>
          <w:rFonts w:hint="eastAsia" w:ascii="仿宋" w:hAnsi="仿宋" w:eastAsia="仿宋" w:cs="仿宋"/>
          <w:b w:val="0"/>
          <w:bCs w:val="0"/>
          <w:sz w:val="24"/>
          <w:szCs w:val="24"/>
          <w:lang w:val="en-US" w:eastAsia="zh-CN"/>
        </w:rPr>
        <w:t>。</w:t>
      </w:r>
    </w:p>
    <w:p>
      <w:pPr>
        <w:pStyle w:val="35"/>
      </w:pPr>
      <w:r>
        <w:drawing>
          <wp:inline distT="0" distB="0" distL="114300" distR="114300">
            <wp:extent cx="4705350" cy="2692400"/>
            <wp:effectExtent l="0" t="0" r="635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1"/>
                    <a:stretch>
                      <a:fillRect/>
                    </a:stretch>
                  </pic:blipFill>
                  <pic:spPr>
                    <a:xfrm>
                      <a:off x="0" y="0"/>
                      <a:ext cx="4705350" cy="2692400"/>
                    </a:xfrm>
                    <a:prstGeom prst="rect">
                      <a:avLst/>
                    </a:prstGeom>
                    <a:noFill/>
                    <a:ln>
                      <a:noFill/>
                    </a:ln>
                  </pic:spPr>
                </pic:pic>
              </a:graphicData>
            </a:graphic>
          </wp:inline>
        </w:drawing>
      </w:r>
    </w:p>
    <w:p>
      <w:pPr>
        <w:pStyle w:val="35"/>
        <w:jc w:val="center"/>
        <w:rPr>
          <w:rFonts w:hint="default" w:eastAsia="宋体"/>
          <w:b/>
          <w:bCs/>
          <w:lang w:val="en-US" w:eastAsia="zh-CN"/>
        </w:rPr>
      </w:pPr>
      <w:r>
        <w:rPr>
          <w:rFonts w:hint="default" w:eastAsia="宋体"/>
          <w:b/>
          <w:bCs/>
          <w:lang w:val="en-US" w:eastAsia="zh-CN"/>
        </w:rPr>
        <w:t>图</w:t>
      </w:r>
      <w:r>
        <w:rPr>
          <w:rFonts w:hint="eastAsia"/>
          <w:b/>
          <w:bCs/>
          <w:lang w:val="en-US" w:eastAsia="zh-CN"/>
        </w:rPr>
        <w:t>2</w:t>
      </w:r>
      <w:r>
        <w:rPr>
          <w:rFonts w:hint="default" w:eastAsia="宋体"/>
          <w:b/>
          <w:bCs/>
          <w:lang w:val="en-US" w:eastAsia="zh-CN"/>
        </w:rPr>
        <w:t xml:space="preserve"> 恩施硒茶采摘现场</w:t>
      </w:r>
    </w:p>
    <w:p>
      <w:pPr>
        <w:pStyle w:val="35"/>
        <w:ind w:left="0" w:leftChars="0" w:firstLine="420" w:firstLineChars="0"/>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通过发展硒茶产业，恩施州成功实现了从传统农业向现代农业的转型升级，显著提升了农产品附加值，拓宽了农民增收渠道，有力推动了农村经济的多元化发展，为实现农村全面振兴奠定了坚实基础</w:t>
      </w:r>
      <w:r>
        <w:rPr>
          <w:rFonts w:hint="default" w:ascii="Times New Roman" w:hAnsi="Times New Roman" w:eastAsia="仿宋" w:cs="Times New Roman"/>
          <w:b w:val="0"/>
          <w:bCs w:val="0"/>
          <w:sz w:val="24"/>
          <w:szCs w:val="24"/>
          <w:vertAlign w:val="superscript"/>
          <w:lang w:val="en-US" w:eastAsia="zh-CN"/>
        </w:rPr>
        <w:t>[8]</w:t>
      </w:r>
      <w:r>
        <w:rPr>
          <w:rFonts w:hint="eastAsia" w:ascii="仿宋" w:hAnsi="仿宋" w:eastAsia="仿宋" w:cs="仿宋"/>
          <w:b w:val="0"/>
          <w:bCs w:val="0"/>
          <w:sz w:val="24"/>
          <w:szCs w:val="24"/>
          <w:lang w:val="en-US" w:eastAsia="zh-CN"/>
        </w:rPr>
        <w:t>。这些富硒农产品成为了深加工的基础原料，推动了农产品种植养殖的规模化、标准化，促使新型农业经营主体如家庭农场、种养大户、农业合作社和龙头企业的快速成长。通过“硒+食品加工业”、“硒+生物医药制造业”等多种业态，硒产业不仅提升了农产品质量、品牌形象和核心竞争力，而且有力地推动了农业种植业和养殖业的健康持续发展，增加了农民收入，推广了订单农业、智慧农业、创意农业等新型农业经营模式。</w:t>
      </w:r>
    </w:p>
    <w:p>
      <w:pPr>
        <w:pStyle w:val="35"/>
        <w:ind w:left="0" w:leftChars="0" w:firstLine="0" w:firstLineChars="0"/>
        <w:rPr>
          <w:rFonts w:hint="eastAsia" w:ascii="仿宋" w:hAnsi="仿宋" w:eastAsia="仿宋" w:cs="仿宋"/>
          <w:b/>
          <w:bCs/>
          <w:sz w:val="30"/>
          <w:szCs w:val="30"/>
          <w:lang w:val="en-US" w:eastAsia="zh-CN"/>
        </w:rPr>
      </w:pPr>
      <w:r>
        <w:rPr>
          <w:rFonts w:hint="eastAsia" w:ascii="仿宋" w:hAnsi="仿宋" w:eastAsia="仿宋" w:cs="仿宋"/>
          <w:b/>
          <w:bCs/>
          <w:sz w:val="30"/>
          <w:szCs w:val="30"/>
          <w:lang w:val="en-US" w:eastAsia="zh-CN"/>
        </w:rPr>
        <w:t>3.2 硒产品的精深加工与科技创新</w:t>
      </w:r>
    </w:p>
    <w:p>
      <w:pPr>
        <w:pStyle w:val="35"/>
        <w:ind w:left="0" w:leftChars="0" w:firstLine="420" w:firstLineChars="0"/>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硒产业与二产工业的融合体现在硒产品的精深加工和科技创新上。恩施州通过成立“硒应用技术与产品开发研究院”、“硒源创业服务中心”以及引进国家富硒产品质量监督检验中心，极大地提升了硒产业的科技含量和创新能力，解决了硒产品开发过程中的关键技术难题，提高了农产品和加工业产品质量标准，塑造了富有竞争力的地域品牌。</w:t>
      </w:r>
    </w:p>
    <w:p>
      <w:pPr>
        <w:pStyle w:val="35"/>
        <w:ind w:left="0" w:leftChars="0" w:firstLine="420" w:firstLineChars="0"/>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硒元素特色加工业的发展与物流业紧密结合，尤其是借助电子商务的发展，克服了地理条件的限制，使得优质的硒农产品和加工产品能够接入更广阔的市场，从而拓宽销售渠道，增加农民收入。此外，硒产业还在农产品精深加工领域持续拓展，涵盖“硒+微生物”、“硒+肥料制造”等多个细分产业部门，推动了农产品加工业的转型升级，提高了产品附加值和市场占有率。</w:t>
      </w:r>
    </w:p>
    <w:p>
      <w:pPr>
        <w:pStyle w:val="35"/>
        <w:ind w:left="0" w:leftChars="0" w:firstLine="0" w:firstLineChars="0"/>
        <w:rPr>
          <w:rFonts w:hint="eastAsia" w:ascii="仿宋" w:hAnsi="仿宋" w:eastAsia="仿宋" w:cs="仿宋"/>
          <w:b/>
          <w:bCs/>
          <w:sz w:val="30"/>
          <w:szCs w:val="30"/>
          <w:lang w:val="en-US" w:eastAsia="zh-CN"/>
        </w:rPr>
      </w:pPr>
      <w:r>
        <w:rPr>
          <w:rFonts w:hint="eastAsia" w:ascii="仿宋" w:hAnsi="仿宋" w:eastAsia="仿宋" w:cs="仿宋"/>
          <w:b/>
          <w:bCs/>
          <w:sz w:val="30"/>
          <w:szCs w:val="30"/>
          <w:lang w:val="en-US" w:eastAsia="zh-CN"/>
        </w:rPr>
        <w:t>3.3 硒文化旅游与全域旅游发展</w:t>
      </w:r>
    </w:p>
    <w:p>
      <w:pPr>
        <w:pStyle w:val="35"/>
        <w:ind w:left="0" w:leftChars="0" w:firstLine="420" w:firstLineChars="0"/>
        <w:rPr>
          <w:rFonts w:hint="default" w:ascii="仿宋" w:hAnsi="仿宋" w:eastAsia="仿宋" w:cs="仿宋"/>
          <w:b w:val="0"/>
          <w:bCs w:val="0"/>
          <w:sz w:val="24"/>
          <w:szCs w:val="24"/>
          <w:lang w:val="en-US" w:eastAsia="zh-CN"/>
        </w:rPr>
      </w:pPr>
      <w:r>
        <w:rPr>
          <w:rFonts w:hint="default" w:ascii="仿宋" w:hAnsi="仿宋" w:eastAsia="仿宋" w:cs="仿宋"/>
          <w:b w:val="0"/>
          <w:bCs w:val="0"/>
          <w:sz w:val="24"/>
          <w:szCs w:val="24"/>
          <w:lang w:val="en-US" w:eastAsia="zh-CN"/>
        </w:rPr>
        <w:t>从初级农产品到农产品精深加工业的发展只是拉长农业产业链的第一步,凭借农产品加工业的发展产生规模效应、刺激服务业需求,推动加工业向产业链条上游的育种研发、产品设计环节延伸,向下游的营销物流、品牌服务环节延伸,才能进一步让产业链变粗拉长。</w:t>
      </w:r>
    </w:p>
    <w:p>
      <w:pPr>
        <w:pStyle w:val="35"/>
        <w:ind w:left="0" w:leftChars="0" w:firstLine="420" w:firstLineChars="0"/>
        <w:jc w:val="center"/>
        <w:rPr>
          <w:rFonts w:hint="eastAsia" w:asciiTheme="minorEastAsia" w:hAnsiTheme="minorEastAsia" w:eastAsiaTheme="minorEastAsia" w:cstheme="minorEastAsia"/>
          <w:i w:val="0"/>
          <w:iCs w:val="0"/>
          <w:caps w:val="0"/>
          <w:color w:val="0D0D0D"/>
          <w:spacing w:val="0"/>
          <w:sz w:val="18"/>
          <w:szCs w:val="18"/>
          <w:shd w:val="clear" w:fill="FFFFFF"/>
          <w:lang w:eastAsia="zh-CN"/>
        </w:rPr>
      </w:pPr>
      <w:r>
        <w:rPr>
          <w:rFonts w:hint="eastAsia" w:asciiTheme="minorEastAsia" w:hAnsiTheme="minorEastAsia" w:eastAsiaTheme="minorEastAsia" w:cstheme="minorEastAsia"/>
          <w:i w:val="0"/>
          <w:iCs w:val="0"/>
          <w:caps w:val="0"/>
          <w:color w:val="0D0D0D"/>
          <w:spacing w:val="0"/>
          <w:sz w:val="18"/>
          <w:szCs w:val="18"/>
          <w:shd w:val="clear" w:fill="FFFFFF"/>
          <w:lang w:eastAsia="zh-CN"/>
        </w:rPr>
        <w:drawing>
          <wp:inline distT="0" distB="0" distL="114300" distR="114300">
            <wp:extent cx="2667000" cy="1386840"/>
            <wp:effectExtent l="0" t="0" r="0" b="10160"/>
            <wp:docPr id="2" name="图片 2" descr="JHLZ201804003_06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JHLZ201804003_06200"/>
                    <pic:cNvPicPr>
                      <a:picLocks noChangeAspect="1"/>
                    </pic:cNvPicPr>
                  </pic:nvPicPr>
                  <pic:blipFill>
                    <a:blip r:embed="rId22"/>
                    <a:stretch>
                      <a:fillRect/>
                    </a:stretch>
                  </pic:blipFill>
                  <pic:spPr>
                    <a:xfrm>
                      <a:off x="0" y="0"/>
                      <a:ext cx="2667000" cy="1386840"/>
                    </a:xfrm>
                    <a:prstGeom prst="rect">
                      <a:avLst/>
                    </a:prstGeom>
                  </pic:spPr>
                </pic:pic>
              </a:graphicData>
            </a:graphic>
          </wp:inline>
        </w:drawing>
      </w:r>
    </w:p>
    <w:p>
      <w:pPr>
        <w:pStyle w:val="35"/>
        <w:ind w:left="0" w:leftChars="0" w:firstLine="420" w:firstLineChars="0"/>
        <w:jc w:val="center"/>
        <w:rPr>
          <w:rFonts w:hint="default" w:asciiTheme="minorEastAsia" w:hAnsiTheme="minorEastAsia" w:eastAsiaTheme="minorEastAsia" w:cstheme="minorEastAsia"/>
          <w:b/>
          <w:bCs/>
          <w:i w:val="0"/>
          <w:iCs w:val="0"/>
          <w:caps w:val="0"/>
          <w:color w:val="0D0D0D"/>
          <w:spacing w:val="0"/>
          <w:sz w:val="21"/>
          <w:szCs w:val="21"/>
          <w:shd w:val="clear" w:fill="FFFFFF"/>
          <w:lang w:val="en-US" w:eastAsia="zh-CN"/>
        </w:rPr>
      </w:pPr>
      <w:r>
        <w:rPr>
          <w:rFonts w:hint="default" w:asciiTheme="minorEastAsia" w:hAnsiTheme="minorEastAsia" w:eastAsiaTheme="minorEastAsia" w:cstheme="minorEastAsia"/>
          <w:b/>
          <w:bCs/>
          <w:i w:val="0"/>
          <w:iCs w:val="0"/>
          <w:caps w:val="0"/>
          <w:color w:val="0D0D0D"/>
          <w:spacing w:val="0"/>
          <w:sz w:val="21"/>
          <w:szCs w:val="21"/>
          <w:shd w:val="clear" w:fill="FFFFFF"/>
          <w:lang w:val="en-US" w:eastAsia="zh-CN"/>
        </w:rPr>
        <w:t>图3 县域和村镇特色产业微笑曲线图</w:t>
      </w:r>
    </w:p>
    <w:p>
      <w:pPr>
        <w:pStyle w:val="35"/>
        <w:ind w:left="0" w:leftChars="0" w:firstLine="420" w:firstLineChars="0"/>
        <w:rPr>
          <w:rFonts w:hint="default" w:ascii="仿宋" w:hAnsi="仿宋" w:eastAsia="仿宋" w:cs="仿宋"/>
          <w:b w:val="0"/>
          <w:bCs w:val="0"/>
          <w:sz w:val="24"/>
          <w:szCs w:val="24"/>
          <w:lang w:val="en-US" w:eastAsia="zh-CN"/>
        </w:rPr>
      </w:pPr>
      <w:r>
        <w:rPr>
          <w:rFonts w:hint="default" w:ascii="仿宋" w:hAnsi="仿宋" w:eastAsia="仿宋" w:cs="仿宋"/>
          <w:b w:val="0"/>
          <w:bCs w:val="0"/>
          <w:sz w:val="24"/>
          <w:szCs w:val="24"/>
          <w:lang w:val="en-US" w:eastAsia="zh-CN"/>
        </w:rPr>
        <w:t>硒产业与三产旅游业的融合发展策略充分体现了全域旅游理念的精髓。全域旅游是一种全局性和整体性的旅游发展模式，它要求将整个区域视为一个完整的旅游目的地，进行一体化的规划、管理和营销，致力于推动旅游业在全区域、全要素、全产业链上的协同发展，确保区域内所有居民和行业都能参与到旅游业的发展中来，共享旅游红利</w:t>
      </w:r>
      <w:r>
        <w:rPr>
          <w:rFonts w:hint="default" w:ascii="Times New Roman" w:hAnsi="Times New Roman" w:eastAsia="仿宋" w:cs="Times New Roman"/>
          <w:b w:val="0"/>
          <w:bCs w:val="0"/>
          <w:sz w:val="24"/>
          <w:szCs w:val="24"/>
          <w:vertAlign w:val="superscript"/>
          <w:lang w:val="en-US" w:eastAsia="zh-CN"/>
        </w:rPr>
        <w:t>[</w:t>
      </w:r>
      <w:r>
        <w:rPr>
          <w:rFonts w:hint="eastAsia" w:ascii="Times New Roman" w:eastAsia="仿宋" w:cs="Times New Roman"/>
          <w:b w:val="0"/>
          <w:bCs w:val="0"/>
          <w:sz w:val="24"/>
          <w:szCs w:val="24"/>
          <w:vertAlign w:val="superscript"/>
          <w:lang w:val="en-US" w:eastAsia="zh-CN"/>
        </w:rPr>
        <w:t>9</w:t>
      </w:r>
      <w:r>
        <w:rPr>
          <w:rFonts w:hint="default" w:ascii="Times New Roman" w:hAnsi="Times New Roman" w:eastAsia="仿宋" w:cs="Times New Roman"/>
          <w:b w:val="0"/>
          <w:bCs w:val="0"/>
          <w:sz w:val="24"/>
          <w:szCs w:val="24"/>
          <w:vertAlign w:val="superscript"/>
          <w:lang w:val="en-US" w:eastAsia="zh-CN"/>
        </w:rPr>
        <w:t>]</w:t>
      </w:r>
      <w:r>
        <w:rPr>
          <w:rFonts w:hint="default" w:ascii="仿宋" w:hAnsi="仿宋" w:eastAsia="仿宋" w:cs="仿宋"/>
          <w:b w:val="0"/>
          <w:bCs w:val="0"/>
          <w:sz w:val="24"/>
          <w:szCs w:val="24"/>
          <w:lang w:val="en-US" w:eastAsia="zh-CN"/>
        </w:rPr>
        <w:t>。恩施州作为国家首批入选的全域旅游示范区之一，积极响应国家战略，紧密结合自身硒资源特点，提出了“一谷、两基地、三示范区”的发展目标，其中“一谷”便是以“世界硒都·中国硒谷”为核心打造的硒文化产业集群。</w:t>
      </w:r>
    </w:p>
    <w:p>
      <w:pPr>
        <w:pStyle w:val="35"/>
        <w:ind w:left="0" w:leftChars="0" w:firstLine="420" w:firstLineChars="0"/>
        <w:rPr>
          <w:rFonts w:hint="default" w:ascii="仿宋" w:hAnsi="仿宋" w:eastAsia="仿宋" w:cs="仿宋"/>
          <w:b w:val="0"/>
          <w:bCs w:val="0"/>
          <w:sz w:val="24"/>
          <w:szCs w:val="24"/>
          <w:lang w:val="en-US" w:eastAsia="zh-CN"/>
        </w:rPr>
      </w:pPr>
      <w:r>
        <w:rPr>
          <w:rFonts w:hint="default" w:ascii="仿宋" w:hAnsi="仿宋" w:eastAsia="仿宋" w:cs="仿宋"/>
          <w:b w:val="0"/>
          <w:bCs w:val="0"/>
          <w:sz w:val="24"/>
          <w:szCs w:val="24"/>
          <w:lang w:val="en-US" w:eastAsia="zh-CN"/>
        </w:rPr>
        <w:t>在硒文化旅游与全域旅游融合发展方面，恩施州充分利用硒资源及其衍生的健康产业优势，将硒产业与旅游业深度结合，力推旅游业由传统的“景区旅游”模式向“全域旅游”模式转变，旨在通过技术创新、协调联动、绿色发展、开放合作和共享机制，促进旅游业转型升级，提升旅游质量和经济效益。具体行动包括加强本地文化遗产、非物质文化遗产和古村落（村寨）的保护与合理利用，如放大唐崖土司城文化的影响力，打造富含土家、苗族风情的文化地标和景观，同时积极推进“智慧旅游”产业链的构建和完善，搭建智慧旅游综合服务平台，使恩施州逐渐成为武陵山区乃至国际知名的旅游目的地和生态文化健康休闲旅游胜地。</w:t>
      </w:r>
    </w:p>
    <w:p>
      <w:pPr>
        <w:pStyle w:val="35"/>
        <w:ind w:left="0" w:leftChars="0" w:firstLine="0" w:firstLineChars="0"/>
        <w:rPr>
          <w:rFonts w:hint="eastAsia" w:ascii="仿宋" w:hAnsi="仿宋" w:eastAsia="仿宋" w:cs="仿宋"/>
          <w:b w:val="0"/>
          <w:bCs w:val="0"/>
          <w:sz w:val="32"/>
          <w:szCs w:val="32"/>
          <w:lang w:val="en-US" w:eastAsia="zh-CN"/>
        </w:rPr>
      </w:pPr>
      <w:r>
        <w:rPr>
          <w:rFonts w:hint="eastAsia" w:ascii="仿宋" w:hAnsi="仿宋" w:eastAsia="仿宋" w:cs="仿宋"/>
          <w:b/>
          <w:bCs/>
          <w:sz w:val="32"/>
          <w:szCs w:val="32"/>
          <w:lang w:val="en-US" w:eastAsia="zh-CN"/>
        </w:rPr>
        <w:t xml:space="preserve">4 城乡融合背景下的恩施硒产业振兴策略 </w:t>
      </w:r>
    </w:p>
    <w:p>
      <w:pPr>
        <w:pStyle w:val="35"/>
        <w:ind w:left="0" w:leftChars="0" w:firstLine="0" w:firstLineChars="0"/>
        <w:rPr>
          <w:rFonts w:hint="eastAsia" w:ascii="仿宋" w:hAnsi="仿宋" w:eastAsia="仿宋" w:cs="仿宋"/>
          <w:b/>
          <w:bCs/>
          <w:sz w:val="30"/>
          <w:szCs w:val="30"/>
          <w:lang w:val="en-US" w:eastAsia="zh-CN"/>
        </w:rPr>
      </w:pPr>
      <w:r>
        <w:rPr>
          <w:rFonts w:hint="eastAsia" w:ascii="仿宋" w:hAnsi="仿宋" w:eastAsia="仿宋" w:cs="仿宋"/>
          <w:b/>
          <w:bCs/>
          <w:sz w:val="30"/>
          <w:szCs w:val="30"/>
          <w:lang w:val="en-US" w:eastAsia="zh-CN"/>
        </w:rPr>
        <w:t>4.1 城乡融合视阈下硒文化产业的激活与发展</w:t>
      </w:r>
    </w:p>
    <w:p>
      <w:pPr>
        <w:pStyle w:val="35"/>
        <w:ind w:left="0" w:leftChars="0" w:firstLine="420" w:firstLineChars="0"/>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在上述三产融合发展的框架下，城乡融合的理念在恩施硒产业振兴中也愈发重要。城乡融合发展是基于空间布局优化和制度供给创新的经济、社会、环境全面融合发展</w:t>
      </w:r>
      <w:r>
        <w:rPr>
          <w:rFonts w:hint="default" w:ascii="Times New Roman" w:hAnsi="Times New Roman" w:eastAsia="仿宋" w:cs="Times New Roman"/>
          <w:b w:val="0"/>
          <w:bCs w:val="0"/>
          <w:sz w:val="24"/>
          <w:szCs w:val="24"/>
          <w:vertAlign w:val="superscript"/>
          <w:lang w:val="en-US" w:eastAsia="zh-CN"/>
        </w:rPr>
        <w:t>[</w:t>
      </w:r>
      <w:r>
        <w:rPr>
          <w:rFonts w:hint="eastAsia" w:ascii="Times New Roman" w:eastAsia="仿宋" w:cs="Times New Roman"/>
          <w:b w:val="0"/>
          <w:bCs w:val="0"/>
          <w:sz w:val="24"/>
          <w:szCs w:val="24"/>
          <w:vertAlign w:val="superscript"/>
          <w:lang w:val="en-US" w:eastAsia="zh-CN"/>
        </w:rPr>
        <w:t>10</w:t>
      </w:r>
      <w:r>
        <w:rPr>
          <w:rFonts w:hint="default" w:ascii="Times New Roman" w:hAnsi="Times New Roman" w:eastAsia="仿宋" w:cs="Times New Roman"/>
          <w:b w:val="0"/>
          <w:bCs w:val="0"/>
          <w:sz w:val="24"/>
          <w:szCs w:val="24"/>
          <w:vertAlign w:val="superscript"/>
          <w:lang w:val="en-US" w:eastAsia="zh-CN"/>
        </w:rPr>
        <w:t>]</w:t>
      </w:r>
      <w:r>
        <w:rPr>
          <w:rFonts w:hint="eastAsia" w:ascii="仿宋" w:hAnsi="仿宋" w:eastAsia="仿宋" w:cs="仿宋"/>
          <w:b w:val="0"/>
          <w:bCs w:val="0"/>
          <w:sz w:val="24"/>
          <w:szCs w:val="24"/>
          <w:lang w:val="en-US" w:eastAsia="zh-CN"/>
        </w:rPr>
        <w:t>，因此城乡融合视阈下硒文化产业的激活与发展强调将硒产业融入到城乡一体的文化建设中，通过硒文化与旅游产业、文化创意产业等的有机融合，打造具有地方特色的硒文化品牌，使之成为城乡文化产业发展的纽带</w:t>
      </w:r>
      <w:r>
        <w:rPr>
          <w:rFonts w:hint="default" w:ascii="Times New Roman" w:hAnsi="Times New Roman" w:eastAsia="仿宋" w:cs="Times New Roman"/>
          <w:b w:val="0"/>
          <w:bCs w:val="0"/>
          <w:sz w:val="24"/>
          <w:szCs w:val="24"/>
          <w:shd w:val="clear" w:color="auto" w:fill="auto"/>
          <w:vertAlign w:val="superscript"/>
          <w:lang w:val="en-US" w:eastAsia="zh-CN"/>
        </w:rPr>
        <w:t>[</w:t>
      </w:r>
      <w:r>
        <w:rPr>
          <w:rFonts w:hint="eastAsia" w:ascii="Times New Roman" w:eastAsia="仿宋" w:cs="Times New Roman"/>
          <w:b w:val="0"/>
          <w:bCs w:val="0"/>
          <w:sz w:val="24"/>
          <w:szCs w:val="24"/>
          <w:shd w:val="clear" w:color="auto" w:fill="auto"/>
          <w:vertAlign w:val="superscript"/>
          <w:lang w:val="en-US" w:eastAsia="zh-CN"/>
        </w:rPr>
        <w:t>11</w:t>
      </w:r>
      <w:r>
        <w:rPr>
          <w:rFonts w:hint="default" w:ascii="Times New Roman" w:hAnsi="Times New Roman" w:eastAsia="仿宋" w:cs="Times New Roman"/>
          <w:b w:val="0"/>
          <w:bCs w:val="0"/>
          <w:sz w:val="24"/>
          <w:szCs w:val="24"/>
          <w:shd w:val="clear" w:color="auto" w:fill="auto"/>
          <w:vertAlign w:val="superscript"/>
          <w:lang w:val="en-US" w:eastAsia="zh-CN"/>
        </w:rPr>
        <w:t>]</w:t>
      </w:r>
      <w:r>
        <w:rPr>
          <w:rFonts w:hint="eastAsia" w:ascii="仿宋" w:hAnsi="仿宋" w:eastAsia="仿宋" w:cs="仿宋"/>
          <w:b w:val="0"/>
          <w:bCs w:val="0"/>
          <w:sz w:val="24"/>
          <w:szCs w:val="24"/>
          <w:lang w:val="en-US" w:eastAsia="zh-CN"/>
        </w:rPr>
        <w:t>。</w:t>
      </w:r>
    </w:p>
    <w:p>
      <w:pPr>
        <w:pStyle w:val="35"/>
        <w:ind w:left="0" w:leftChars="0" w:firstLine="0" w:firstLineChars="0"/>
        <w:jc w:val="center"/>
      </w:pPr>
      <w:r>
        <w:drawing>
          <wp:inline distT="0" distB="0" distL="114300" distR="114300">
            <wp:extent cx="3465830" cy="2455545"/>
            <wp:effectExtent l="0" t="0" r="1270" b="825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3"/>
                    <a:stretch>
                      <a:fillRect/>
                    </a:stretch>
                  </pic:blipFill>
                  <pic:spPr>
                    <a:xfrm>
                      <a:off x="0" y="0"/>
                      <a:ext cx="3465830" cy="2455545"/>
                    </a:xfrm>
                    <a:prstGeom prst="rect">
                      <a:avLst/>
                    </a:prstGeom>
                    <a:noFill/>
                    <a:ln>
                      <a:noFill/>
                    </a:ln>
                  </pic:spPr>
                </pic:pic>
              </a:graphicData>
            </a:graphic>
          </wp:inline>
        </w:drawing>
      </w:r>
    </w:p>
    <w:p>
      <w:pPr>
        <w:pStyle w:val="35"/>
        <w:ind w:left="0" w:leftChars="0" w:firstLine="0" w:firstLineChars="0"/>
        <w:jc w:val="center"/>
        <w:rPr>
          <w:rFonts w:hint="default" w:eastAsia="宋体"/>
          <w:b/>
          <w:bCs/>
          <w:lang w:val="en-US" w:eastAsia="zh-CN"/>
        </w:rPr>
      </w:pPr>
      <w:r>
        <w:rPr>
          <w:rFonts w:hint="eastAsia"/>
          <w:b/>
          <w:bCs/>
          <w:lang w:val="en-US" w:eastAsia="zh-CN"/>
        </w:rPr>
        <w:t>图4 城乡融合的研究路径</w:t>
      </w:r>
    </w:p>
    <w:p>
      <w:pPr>
        <w:pStyle w:val="35"/>
        <w:ind w:left="0" w:leftChars="0" w:firstLine="420" w:firstLineChars="0"/>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在城乡融合的战略指导下，恩施地区推进硒产业振兴应充分借鉴城乡一体化发展的理念，需要从法律法规上对城市与农村进行行政区划上的重新界定，改变仅凭历史发展所形成的惯性认识来对城乡进行划分的传统做法，保障城乡融合发展的理念得到顺利实施</w:t>
      </w:r>
      <w:r>
        <w:rPr>
          <w:rFonts w:hint="default" w:ascii="Times New Roman" w:hAnsi="Times New Roman" w:eastAsia="仿宋" w:cs="Times New Roman"/>
          <w:b w:val="0"/>
          <w:bCs w:val="0"/>
          <w:sz w:val="24"/>
          <w:szCs w:val="24"/>
          <w:vertAlign w:val="superscript"/>
          <w:lang w:val="en-US" w:eastAsia="zh-CN"/>
        </w:rPr>
        <w:t>[1</w:t>
      </w:r>
      <w:r>
        <w:rPr>
          <w:rFonts w:hint="eastAsia" w:ascii="Times New Roman" w:eastAsia="仿宋" w:cs="Times New Roman"/>
          <w:b w:val="0"/>
          <w:bCs w:val="0"/>
          <w:sz w:val="24"/>
          <w:szCs w:val="24"/>
          <w:vertAlign w:val="superscript"/>
          <w:lang w:val="en-US" w:eastAsia="zh-CN"/>
        </w:rPr>
        <w:t>2</w:t>
      </w:r>
      <w:r>
        <w:rPr>
          <w:rFonts w:hint="default" w:ascii="Times New Roman" w:hAnsi="Times New Roman" w:eastAsia="仿宋" w:cs="Times New Roman"/>
          <w:b w:val="0"/>
          <w:bCs w:val="0"/>
          <w:sz w:val="24"/>
          <w:szCs w:val="24"/>
          <w:vertAlign w:val="superscript"/>
          <w:lang w:val="en-US" w:eastAsia="zh-CN"/>
        </w:rPr>
        <w:t>]</w:t>
      </w:r>
      <w:r>
        <w:rPr>
          <w:rFonts w:hint="eastAsia" w:ascii="仿宋" w:hAnsi="仿宋" w:eastAsia="仿宋" w:cs="仿宋"/>
          <w:b w:val="0"/>
          <w:bCs w:val="0"/>
          <w:sz w:val="24"/>
          <w:szCs w:val="24"/>
          <w:lang w:val="en-US" w:eastAsia="zh-CN"/>
        </w:rPr>
        <w:t>。具体而言，这意味着充分利用恩施地区丰富的硒资源禀赋，培育和发展具有本地特色的硒产品产业链，同时加强城乡之间的产业联动，形成城乡产业的差异化和互补性发展。在恩施市芭蕉侗族乡等地，可以通过打造“在地化”的硒文化与硒产品相结合的文化产业，如硒主题的乡村旅游、富硒农产品深加工等，不仅有助于提升乡村自身经济发展水平，还能吸引城市资本、技术和人才向乡村回流，从而实现城乡资源要素的有效对接和深度融合。</w:t>
      </w:r>
    </w:p>
    <w:p>
      <w:pPr>
        <w:pStyle w:val="35"/>
        <w:ind w:left="0" w:leftChars="0" w:firstLine="0" w:firstLineChars="0"/>
        <w:rPr>
          <w:rFonts w:hint="default" w:ascii="仿宋" w:hAnsi="仿宋" w:eastAsia="仿宋" w:cs="仿宋"/>
          <w:b/>
          <w:bCs/>
          <w:sz w:val="30"/>
          <w:szCs w:val="30"/>
          <w:lang w:val="en-US" w:eastAsia="zh-CN"/>
        </w:rPr>
      </w:pPr>
      <w:r>
        <w:rPr>
          <w:rFonts w:hint="eastAsia" w:ascii="仿宋" w:hAnsi="仿宋" w:eastAsia="仿宋" w:cs="仿宋"/>
          <w:b/>
          <w:bCs/>
          <w:sz w:val="30"/>
          <w:szCs w:val="30"/>
          <w:lang w:val="en-US" w:eastAsia="zh-CN"/>
        </w:rPr>
        <w:t>4.2 驱动硒产业链条的城乡互动机制</w:t>
      </w:r>
    </w:p>
    <w:p>
      <w:pPr>
        <w:pStyle w:val="35"/>
        <w:ind w:left="0" w:leftChars="0" w:firstLine="420" w:firstLineChars="0"/>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建立城乡互动机制以驱动硒产业链条延伸与优化，意味着需构建一套灵活有效的城乡资源要素流通机制，鼓励城乡之间硒产品技术的研发、推广、销售等环节相互衔接，使得硒产业链条得以延伸拓展，进而促进乡村硒产业的升级换代和整体效益提升。</w:t>
      </w:r>
    </w:p>
    <w:p>
      <w:pPr>
        <w:pStyle w:val="35"/>
        <w:ind w:left="0" w:leftChars="0" w:firstLine="420" w:firstLineChars="0"/>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为了使恩施硒产业在城乡融合背景下实现振兴，关键在于打破城乡之间的壁垒，构建完善的城乡要素自由流动机制。一方面，改革户籍制度、土地制度、金融服务体系和社会保障制度，确保农民能够在硒产业中得到合理回报，城市资本能够无障碍地进入硒产业投资，同时也保障农民工和返乡创业者的权益。另一方面，通过搭建城乡信息平台，促进硒产品和技术的双向流通，强化科研机构与乡村企业的合作，引导和支持硒产业向高端化、品牌化方向延伸，形成完整的硒产业链条。</w:t>
      </w:r>
    </w:p>
    <w:p>
      <w:pPr>
        <w:pStyle w:val="35"/>
        <w:ind w:left="0" w:leftChars="0" w:firstLine="0" w:firstLineChars="0"/>
        <w:rPr>
          <w:rFonts w:hint="eastAsia" w:ascii="仿宋" w:hAnsi="仿宋" w:eastAsia="仿宋" w:cs="仿宋"/>
          <w:b/>
          <w:bCs/>
          <w:sz w:val="30"/>
          <w:szCs w:val="30"/>
          <w:lang w:val="en-US" w:eastAsia="zh-CN"/>
        </w:rPr>
      </w:pPr>
      <w:r>
        <w:rPr>
          <w:rFonts w:hint="eastAsia" w:ascii="仿宋" w:hAnsi="仿宋" w:eastAsia="仿宋" w:cs="仿宋"/>
          <w:b/>
          <w:bCs/>
          <w:sz w:val="30"/>
          <w:szCs w:val="30"/>
          <w:lang w:val="en-US" w:eastAsia="zh-CN"/>
        </w:rPr>
        <w:t>4.3 基础设施建设的投入</w:t>
      </w:r>
    </w:p>
    <w:p>
      <w:pPr>
        <w:pStyle w:val="35"/>
        <w:ind w:left="0" w:leftChars="0" w:firstLine="420" w:firstLineChars="0"/>
        <w:rPr>
          <w:rFonts w:hint="eastAsia" w:eastAsia="仿宋"/>
          <w:color w:val="FF0000"/>
          <w:sz w:val="24"/>
        </w:rPr>
      </w:pPr>
      <w:r>
        <w:rPr>
          <w:rFonts w:hint="eastAsia" w:ascii="仿宋" w:hAnsi="仿宋" w:eastAsia="仿宋" w:cs="仿宋"/>
          <w:b w:val="0"/>
          <w:bCs w:val="0"/>
          <w:sz w:val="24"/>
          <w:szCs w:val="24"/>
          <w:lang w:val="en-US" w:eastAsia="zh-CN"/>
        </w:rPr>
        <w:t>结合</w:t>
      </w:r>
      <w:r>
        <w:rPr>
          <w:rFonts w:hint="default" w:ascii="仿宋" w:hAnsi="仿宋" w:eastAsia="仿宋" w:cs="仿宋"/>
          <w:b w:val="0"/>
          <w:bCs w:val="0"/>
          <w:sz w:val="24"/>
          <w:szCs w:val="24"/>
          <w:lang w:val="en-US" w:eastAsia="zh-CN"/>
        </w:rPr>
        <w:t>第二章中所提到的韩国“新乡村运动”以及日本的“社区营造”经验，政府应加大对恩施地区尤其是乡村的基础设施投入，包括交通网络、通讯设施、仓储物流系统以及硒产业基地的标准化建设等，提升硒产业发展的硬件基础。同时，通过兴办教育培训项目、普及硒知识、培育新型职业农民等方式，提升乡村人力资源素质，确保硒产业的高质量发展。此外，还要关注生态环境的保护和绿色可持续发展，将硒资源开发与乡村生态环境治理紧密结合，通过城乡基础设施的均衡布局与升级优化，有效缩小城乡差距，最终实现城乡共同繁荣，助力乡村振兴战略的全面落实。</w:t>
      </w:r>
    </w:p>
    <w:p>
      <w:pPr>
        <w:rPr>
          <w:rFonts w:hint="default" w:eastAsia="仿宋"/>
          <w:b/>
          <w:bCs/>
          <w:color w:val="auto"/>
          <w:sz w:val="32"/>
          <w:szCs w:val="32"/>
          <w:lang w:val="en-US" w:eastAsia="zh-CN"/>
        </w:rPr>
      </w:pPr>
      <w:r>
        <w:rPr>
          <w:rFonts w:hint="eastAsia" w:eastAsia="仿宋"/>
          <w:b/>
          <w:bCs/>
          <w:color w:val="auto"/>
          <w:sz w:val="32"/>
          <w:szCs w:val="32"/>
          <w:lang w:val="en-US" w:eastAsia="zh-CN"/>
        </w:rPr>
        <w:t>5 结语</w:t>
      </w:r>
    </w:p>
    <w:p>
      <w:pPr>
        <w:ind w:firstLine="420" w:firstLineChars="0"/>
        <w:rPr>
          <w:rFonts w:hint="eastAsia" w:eastAsia="仿宋"/>
          <w:color w:val="auto"/>
          <w:sz w:val="24"/>
        </w:rPr>
      </w:pPr>
      <w:r>
        <w:rPr>
          <w:rFonts w:hint="eastAsia" w:eastAsia="仿宋"/>
          <w:color w:val="auto"/>
          <w:sz w:val="24"/>
        </w:rPr>
        <w:t>在改革开放的大背景下，恩施市充分发挥其“世界硒都”的独特优势，通过不断推进硒产业的发展和创新，建立</w:t>
      </w:r>
      <w:r>
        <w:rPr>
          <w:rFonts w:hint="eastAsia" w:eastAsia="仿宋"/>
          <w:color w:val="auto"/>
          <w:sz w:val="24"/>
          <w:lang w:val="en-US" w:eastAsia="zh-CN"/>
        </w:rPr>
        <w:t>了</w:t>
      </w:r>
      <w:r>
        <w:rPr>
          <w:rFonts w:hint="eastAsia" w:eastAsia="仿宋"/>
          <w:color w:val="auto"/>
          <w:sz w:val="24"/>
        </w:rPr>
        <w:t>硒产业与乡村旅游业、乡村文化业、乡村服务业等产业的深度融合机制，打造</w:t>
      </w:r>
      <w:r>
        <w:rPr>
          <w:rFonts w:hint="eastAsia" w:eastAsia="仿宋"/>
          <w:color w:val="auto"/>
          <w:sz w:val="24"/>
          <w:lang w:val="en-US" w:eastAsia="zh-CN"/>
        </w:rPr>
        <w:t>了</w:t>
      </w:r>
      <w:r>
        <w:rPr>
          <w:rFonts w:hint="eastAsia" w:eastAsia="仿宋"/>
          <w:color w:val="auto"/>
          <w:sz w:val="24"/>
        </w:rPr>
        <w:t>硒产业与乡村产业融合发展的示范样板，为实现农村振兴做出了重要贡献</w:t>
      </w:r>
      <w:r>
        <w:rPr>
          <w:rFonts w:hint="eastAsia" w:eastAsia="仿宋"/>
          <w:color w:val="auto"/>
          <w:sz w:val="24"/>
          <w:vertAlign w:val="superscript"/>
          <w:lang w:val="en-US" w:eastAsia="zh-CN"/>
        </w:rPr>
        <w:t>[13]</w:t>
      </w:r>
      <w:r>
        <w:rPr>
          <w:rFonts w:hint="eastAsia" w:eastAsia="仿宋"/>
          <w:color w:val="auto"/>
          <w:sz w:val="24"/>
        </w:rPr>
        <w:t>。</w:t>
      </w:r>
    </w:p>
    <w:p>
      <w:pPr>
        <w:ind w:firstLine="420" w:firstLineChars="0"/>
        <w:rPr>
          <w:rFonts w:hint="eastAsia" w:eastAsia="仿宋"/>
          <w:color w:val="auto"/>
          <w:sz w:val="24"/>
        </w:rPr>
      </w:pPr>
      <w:r>
        <w:rPr>
          <w:rFonts w:hint="eastAsia" w:eastAsia="仿宋"/>
          <w:color w:val="auto"/>
          <w:sz w:val="24"/>
        </w:rPr>
        <w:t>恩施的经验表明，依托地方特色资源发展特色产业是实现农村振兴的有效途径。硒产业的成功不仅为恩施自身的经济社会发展注入了新动力，也为中国乃至其他国家的农村地区提供了宝贵的经验和启示。这些经验包括：充分利用地方特色资源，发展特色产业；注重环境保护和可持续发展；加强政策支持和资金投入，鼓励技术创新；以及促进产业融合发展，提高产业附加值等。</w:t>
      </w:r>
    </w:p>
    <w:p>
      <w:pPr>
        <w:ind w:firstLine="420" w:firstLineChars="0"/>
        <w:rPr>
          <w:rFonts w:hint="eastAsia" w:eastAsia="仿宋"/>
          <w:color w:val="auto"/>
          <w:sz w:val="24"/>
        </w:rPr>
      </w:pPr>
      <w:r>
        <w:rPr>
          <w:rFonts w:hint="eastAsia" w:eastAsia="仿宋"/>
          <w:color w:val="auto"/>
          <w:sz w:val="24"/>
        </w:rPr>
        <w:t>总的来说，恩施硒产业的发展不仅是改革开放政策成果的一个缩影，也是中国农村振兴战略实施的一个成功案例。未来，恩施应继续坚持创新驱动、绿色发展的理念，深化产业融合，拓展市场空间，不断提升硒产业的核心竞争力，为实现乡村全面振兴和构建新时代现代化农业农村提供更加坚实的支撑。</w:t>
      </w:r>
    </w:p>
    <w:p>
      <w:pPr>
        <w:rPr>
          <w:rFonts w:hint="eastAsia" w:eastAsia="仿宋"/>
          <w:color w:val="FF0000"/>
          <w:sz w:val="24"/>
        </w:rPr>
      </w:pPr>
    </w:p>
    <w:p>
      <w:pPr>
        <w:ind w:firstLine="480" w:firstLineChars="200"/>
        <w:rPr>
          <w:rFonts w:ascii="仿宋" w:hAnsi="仿宋" w:eastAsia="仿宋"/>
          <w:color w:val="FF0000"/>
          <w:sz w:val="24"/>
        </w:rPr>
      </w:pPr>
    </w:p>
    <w:p>
      <w:pPr>
        <w:pStyle w:val="66"/>
        <w:keepNext/>
        <w:keepLines/>
        <w:numPr>
          <w:ilvl w:val="0"/>
          <w:numId w:val="1"/>
        </w:numPr>
        <w:spacing w:beforeLines="50" w:afterLines="50" w:line="240" w:lineRule="auto"/>
        <w:ind w:firstLineChars="0"/>
        <w:jc w:val="left"/>
        <w:outlineLvl w:val="0"/>
        <w:rPr>
          <w:rFonts w:ascii="仿宋" w:hAnsi="仿宋" w:eastAsia="仿宋"/>
          <w:b/>
          <w:bCs/>
          <w:vanish/>
          <w:kern w:val="44"/>
          <w:sz w:val="32"/>
          <w:szCs w:val="32"/>
        </w:rPr>
      </w:pPr>
      <w:bookmarkStart w:id="2" w:name="_Toc515609049"/>
      <w:bookmarkEnd w:id="2"/>
      <w:bookmarkStart w:id="3" w:name="_Toc515541050"/>
      <w:bookmarkEnd w:id="3"/>
      <w:bookmarkStart w:id="4" w:name="_Toc515541310"/>
      <w:bookmarkEnd w:id="4"/>
      <w:bookmarkStart w:id="5" w:name="_Toc515540974"/>
      <w:bookmarkEnd w:id="5"/>
    </w:p>
    <w:p>
      <w:pPr>
        <w:pStyle w:val="66"/>
        <w:keepNext/>
        <w:keepLines/>
        <w:numPr>
          <w:ilvl w:val="0"/>
          <w:numId w:val="1"/>
        </w:numPr>
        <w:spacing w:beforeLines="50" w:afterLines="50" w:line="240" w:lineRule="auto"/>
        <w:ind w:firstLineChars="0"/>
        <w:jc w:val="left"/>
        <w:outlineLvl w:val="0"/>
        <w:rPr>
          <w:rFonts w:ascii="仿宋" w:hAnsi="仿宋" w:eastAsia="仿宋"/>
          <w:b/>
          <w:bCs/>
          <w:vanish/>
          <w:kern w:val="44"/>
          <w:sz w:val="32"/>
          <w:szCs w:val="32"/>
        </w:rPr>
      </w:pPr>
      <w:bookmarkStart w:id="6" w:name="_Toc515541051"/>
      <w:bookmarkEnd w:id="6"/>
      <w:bookmarkStart w:id="7" w:name="_Toc515609050"/>
      <w:bookmarkEnd w:id="7"/>
      <w:bookmarkStart w:id="8" w:name="_Toc515541311"/>
      <w:bookmarkEnd w:id="8"/>
      <w:bookmarkStart w:id="9" w:name="_Toc515540975"/>
      <w:bookmarkEnd w:id="9"/>
    </w:p>
    <w:p>
      <w:pPr>
        <w:widowControl/>
        <w:spacing w:line="240" w:lineRule="auto"/>
        <w:jc w:val="center"/>
        <w:rPr>
          <w:rStyle w:val="57"/>
        </w:rPr>
      </w:pPr>
      <w:r>
        <w:rPr>
          <w:rStyle w:val="57"/>
          <w:rFonts w:ascii="Times New Roman" w:hAnsi="Times New Roman"/>
        </w:rPr>
        <w:br w:type="page"/>
      </w:r>
      <w:bookmarkStart w:id="10" w:name="_Toc515609052"/>
      <w:r>
        <w:rPr>
          <w:rStyle w:val="57"/>
          <w:rFonts w:hint="eastAsia"/>
        </w:rPr>
        <w:t>参考文献</w:t>
      </w:r>
      <w:bookmarkEnd w:id="10"/>
    </w:p>
    <w:p>
      <w:pPr>
        <w:numPr>
          <w:ilvl w:val="0"/>
          <w:numId w:val="6"/>
        </w:numPr>
        <w:spacing w:line="240" w:lineRule="auto"/>
        <w:jc w:val="left"/>
        <w:outlineLvl w:val="3"/>
      </w:pPr>
      <w:r>
        <w:rPr>
          <w:rFonts w:hint="eastAsia"/>
        </w:rPr>
        <w:t>刘芳震. 恩施州人民政府2021年工作报告[R], 2021年1月19日.</w:t>
      </w:r>
    </w:p>
    <w:p>
      <w:pPr>
        <w:numPr>
          <w:ilvl w:val="0"/>
          <w:numId w:val="6"/>
        </w:numPr>
        <w:spacing w:line="240" w:lineRule="auto"/>
        <w:jc w:val="left"/>
        <w:outlineLvl w:val="3"/>
      </w:pPr>
      <w:r>
        <w:rPr>
          <w:rFonts w:hint="eastAsia"/>
        </w:rPr>
        <w:t>郭宇. 恩施地区硒的地球化学研究及富硒作物栽培实验研究[D].中国地质大学,2012.</w:t>
      </w:r>
    </w:p>
    <w:p>
      <w:pPr>
        <w:numPr>
          <w:ilvl w:val="0"/>
          <w:numId w:val="6"/>
        </w:numPr>
        <w:spacing w:line="240" w:lineRule="auto"/>
        <w:jc w:val="left"/>
        <w:outlineLvl w:val="3"/>
      </w:pPr>
      <w:r>
        <w:rPr>
          <w:rFonts w:hint="eastAsia"/>
        </w:rPr>
        <w:t>朴龙洙.韩国新乡村运动述论[J].西南民族大学学报(人文社会科学版),2011,32(04):55-59.</w:t>
      </w:r>
    </w:p>
    <w:p>
      <w:pPr>
        <w:numPr>
          <w:ilvl w:val="0"/>
          <w:numId w:val="6"/>
        </w:numPr>
        <w:spacing w:line="240" w:lineRule="auto"/>
        <w:jc w:val="left"/>
        <w:outlineLvl w:val="3"/>
      </w:pPr>
      <w:r>
        <w:rPr>
          <w:rFonts w:hint="eastAsia"/>
        </w:rPr>
        <w:t>王国恩,杨康,毛志强.展现乡村价值的社区营造——日本魅力乡村建设的经验[J].城市发展研究,2016,23(01):13-18.</w:t>
      </w:r>
    </w:p>
    <w:p>
      <w:pPr>
        <w:numPr>
          <w:ilvl w:val="0"/>
          <w:numId w:val="6"/>
        </w:numPr>
        <w:spacing w:line="240" w:lineRule="auto"/>
        <w:jc w:val="left"/>
        <w:outlineLvl w:val="3"/>
      </w:pPr>
      <w:r>
        <w:rPr>
          <w:rFonts w:hint="eastAsia"/>
        </w:rPr>
        <w:t>王雪梅, 陈丽娜. (2018-11-19). 深山里的特色农业之路——湖北恩施土家族苗族自治州发展硒农业纪实. 农村工作通讯</w:t>
      </w:r>
      <w:r>
        <w:rPr>
          <w:rFonts w:hint="eastAsia"/>
          <w:lang w:val="en-US" w:eastAsia="zh-CN"/>
        </w:rPr>
        <w:t>.</w:t>
      </w:r>
    </w:p>
    <w:p>
      <w:pPr>
        <w:numPr>
          <w:ilvl w:val="0"/>
          <w:numId w:val="6"/>
        </w:numPr>
        <w:spacing w:line="240" w:lineRule="auto"/>
        <w:jc w:val="left"/>
        <w:outlineLvl w:val="3"/>
      </w:pPr>
      <w:r>
        <w:rPr>
          <w:rFonts w:hint="eastAsia"/>
        </w:rPr>
        <w:t>郝华勇.特色产业引领农村一二三产业融合发展——以湖北恩施州硒产业为例[J].江淮论坛,2018(04):19-24.DOI:10.16064/j.cnki.cn34-1003/g0.2018.04.033.</w:t>
      </w:r>
    </w:p>
    <w:p>
      <w:pPr>
        <w:numPr>
          <w:ilvl w:val="0"/>
          <w:numId w:val="6"/>
        </w:numPr>
        <w:spacing w:line="240" w:lineRule="auto"/>
        <w:jc w:val="left"/>
        <w:outlineLvl w:val="3"/>
      </w:pPr>
      <w:r>
        <w:rPr>
          <w:rFonts w:hint="eastAsia"/>
        </w:rPr>
        <w:t>湖北省文化和旅游厅. (2019-12-26). 富硒茶[EB/OL].</w:t>
      </w:r>
    </w:p>
    <w:p>
      <w:pPr>
        <w:numPr>
          <w:ilvl w:val="0"/>
          <w:numId w:val="6"/>
        </w:numPr>
        <w:spacing w:line="240" w:lineRule="auto"/>
        <w:jc w:val="left"/>
        <w:outlineLvl w:val="3"/>
      </w:pPr>
      <w:r>
        <w:rPr>
          <w:rFonts w:hint="eastAsia"/>
        </w:rPr>
        <w:t>谭秋. 乡村振兴战略下恩施州茶产业融合发展研究[D].湖北民族大学,2024.DOI:10.27764/d.cnki.ghbmz.2023.000327.</w:t>
      </w:r>
    </w:p>
    <w:p>
      <w:pPr>
        <w:numPr>
          <w:ilvl w:val="0"/>
          <w:numId w:val="6"/>
        </w:numPr>
        <w:spacing w:line="240" w:lineRule="auto"/>
        <w:jc w:val="left"/>
        <w:outlineLvl w:val="3"/>
      </w:pPr>
      <w:r>
        <w:rPr>
          <w:rFonts w:hint="eastAsia"/>
        </w:rPr>
        <w:t>陈烨.基于“全域旅游”示范区建设背景下的民族地区实施“乡村振兴”战略的路径探索——以湖北省恩施土家族苗族自治州为例[J].经济界,2018(03):41-48.</w:t>
      </w:r>
    </w:p>
    <w:p>
      <w:pPr>
        <w:numPr>
          <w:ilvl w:val="0"/>
          <w:numId w:val="6"/>
        </w:numPr>
        <w:spacing w:line="240" w:lineRule="auto"/>
        <w:jc w:val="left"/>
        <w:outlineLvl w:val="3"/>
      </w:pPr>
      <w:r>
        <w:rPr>
          <w:rFonts w:hint="eastAsia"/>
        </w:rPr>
        <w:t>何仁伟.城乡融合与乡村振兴:理论探讨、机理阐释与实现路径[J].地理研究,2018,37(11):2127-2140.</w:t>
      </w:r>
    </w:p>
    <w:p>
      <w:pPr>
        <w:numPr>
          <w:ilvl w:val="0"/>
          <w:numId w:val="6"/>
        </w:numPr>
        <w:spacing w:line="240" w:lineRule="auto"/>
        <w:jc w:val="left"/>
        <w:outlineLvl w:val="3"/>
      </w:pPr>
      <w:r>
        <w:rPr>
          <w:rFonts w:hint="eastAsia"/>
        </w:rPr>
        <w:t>杨洪林.文化产业视角下乡村振兴与民族地区城乡关系重构[J].云南师范大学学报(哲学社会科学版),2020,52(03):74-83.</w:t>
      </w:r>
    </w:p>
    <w:p>
      <w:pPr>
        <w:numPr>
          <w:ilvl w:val="0"/>
          <w:numId w:val="6"/>
        </w:numPr>
        <w:spacing w:line="240" w:lineRule="auto"/>
        <w:jc w:val="left"/>
        <w:outlineLvl w:val="3"/>
      </w:pPr>
      <w:r>
        <w:rPr>
          <w:rFonts w:hint="eastAsia"/>
        </w:rPr>
        <w:t>王亚华,苏毅清.乡村振兴——中国农村发展新战略[J].中央社会主义学院学报,2017(06):49-55.</w:t>
      </w:r>
    </w:p>
    <w:p>
      <w:pPr>
        <w:numPr>
          <w:ilvl w:val="0"/>
          <w:numId w:val="6"/>
        </w:numPr>
        <w:spacing w:line="240" w:lineRule="auto"/>
        <w:jc w:val="left"/>
        <w:outlineLvl w:val="3"/>
      </w:pPr>
      <w:r>
        <w:rPr>
          <w:rFonts w:hint="eastAsia"/>
        </w:rPr>
        <w:t>中共中央国务院关于做好二〇二三年全面推进乡村振兴重点工作的意见[N]. 人民日报,2023-02-14(001).DOI:10.28655/n.cnki.nrmrb.2023.001491.</w:t>
      </w:r>
    </w:p>
    <w:p>
      <w:pPr>
        <w:pStyle w:val="35"/>
        <w:spacing w:beforeLines="50" w:afterLines="50" w:line="240" w:lineRule="auto"/>
        <w:ind w:firstLine="0" w:firstLineChars="0"/>
        <w:jc w:val="both"/>
        <w:outlineLvl w:val="0"/>
        <w:rPr>
          <w:rFonts w:ascii="仿宋" w:hAnsi="仿宋" w:eastAsia="仿宋"/>
          <w:color w:val="FF0000"/>
          <w:sz w:val="24"/>
          <w:szCs w:val="24"/>
        </w:rPr>
      </w:pPr>
    </w:p>
    <w:sectPr>
      <w:headerReference r:id="rId13" w:type="default"/>
      <w:footerReference r:id="rId15" w:type="default"/>
      <w:headerReference r:id="rId14" w:type="even"/>
      <w:footerReference r:id="rId16" w:type="even"/>
      <w:pgSz w:w="11906" w:h="16838"/>
      <w:pgMar w:top="1440" w:right="1800" w:bottom="1440" w:left="1800" w:header="1134" w:footer="680" w:gutter="0"/>
      <w:pgNumType w:start="1"/>
      <w:cols w:space="425" w:num="1"/>
      <w:docGrid w:type="linesAndChar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center"/>
    </w:pPr>
    <w:r>
      <w:fldChar w:fldCharType="begin"/>
    </w:r>
    <w:r>
      <w:instrText xml:space="preserve">PAGE   \* MERGEFORMAT</w:instrText>
    </w:r>
    <w:r>
      <w:fldChar w:fldCharType="separate"/>
    </w:r>
    <w:r>
      <w:rPr>
        <w:lang w:val="zh-CN"/>
      </w:rPr>
      <w:t>III</w:t>
    </w:r>
    <w:r>
      <w:rPr>
        <w:lang w:val="zh-C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center"/>
    </w:pPr>
    <w:r>
      <w:fldChar w:fldCharType="begin"/>
    </w:r>
    <w:r>
      <w:instrText xml:space="preserve">PAGE   \* MERGEFORMAT</w:instrText>
    </w:r>
    <w:r>
      <w:fldChar w:fldCharType="separate"/>
    </w:r>
    <w:r>
      <w:rPr>
        <w:lang w:val="zh-CN"/>
      </w:rPr>
      <w:t>IV</w:t>
    </w:r>
    <w:r>
      <w:rPr>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center"/>
      <w:rPr>
        <w:rFonts w:hint="eastAsia" w:eastAsia="宋体"/>
        <w:lang w:eastAsia="zh-CN"/>
      </w:rPr>
    </w:pPr>
    <w:r>
      <w:rPr>
        <w:rFonts w:hint="eastAsia"/>
        <w:lang w:val="en-US" w:eastAsia="zh-CN"/>
      </w:rPr>
      <w:t>III</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center"/>
    </w:pPr>
    <w:r>
      <w:fldChar w:fldCharType="begin"/>
    </w:r>
    <w:r>
      <w:instrText xml:space="preserve">PAGE   \* MERGEFORMAT</w:instrText>
    </w:r>
    <w:r>
      <w:fldChar w:fldCharType="separate"/>
    </w:r>
    <w:r>
      <w:rPr>
        <w:lang w:val="zh-CN"/>
      </w:rPr>
      <w:t>8</w:t>
    </w:r>
    <w:r>
      <w:rPr>
        <w:lang w:val="zh-CN"/>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center"/>
    </w:pPr>
  </w:p>
  <w:p>
    <w:pPr>
      <w:pStyle w:val="18"/>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center"/>
    </w:pPr>
  </w:p>
  <w:p>
    <w:pPr>
      <w:pStyle w:val="1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Bdr>
        <w:bottom w:val="single" w:color="auto" w:sz="4" w:space="1"/>
      </w:pBdr>
      <w:spacing w:line="240" w:lineRule="auto"/>
      <w:jc w:val="right"/>
    </w:pPr>
    <w:r>
      <w:rPr>
        <w:rFonts w:hint="eastAsia"/>
      </w:rPr>
      <w:t>硒光下的未来：恩施硒产业与乡村振兴战略的融合</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spacing w:line="240" w:lineRule="auto"/>
      <w:jc w:val="right"/>
    </w:pPr>
    <w:r>
      <w:rPr>
        <w:rFonts w:hint="eastAsia"/>
      </w:rPr>
      <w:t>毕业论文</w:t>
    </w:r>
    <w:r>
      <w:t>（</w:t>
    </w:r>
    <w:r>
      <w:rPr>
        <w:rFonts w:hint="eastAsia"/>
      </w:rPr>
      <w:t>设计</w:t>
    </w:r>
    <w:r>
      <w:t>）</w:t>
    </w:r>
    <w:r>
      <w:rPr>
        <w:rFonts w:hint="eastAsia"/>
      </w:rPr>
      <w:t>题目</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Bdr>
        <w:bottom w:val="single" w:color="auto" w:sz="4" w:space="1"/>
      </w:pBdr>
      <w:spacing w:line="240" w:lineRule="auto"/>
      <w:jc w:val="right"/>
    </w:pPr>
    <w:r>
      <w:rPr>
        <w:rFonts w:hint="eastAsia"/>
      </w:rPr>
      <w:t>硒光下的未来：恩施硒产业与乡村振兴战略的融合</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spacing w:line="240" w:lineRule="auto"/>
      <w:jc w:val="right"/>
    </w:pPr>
    <w:r>
      <w:rPr>
        <w:rFonts w:hint="eastAsia"/>
      </w:rPr>
      <w:t>毕业论文</w:t>
    </w:r>
    <w:r>
      <w:t>（</w:t>
    </w:r>
    <w:r>
      <w:rPr>
        <w:rFonts w:hint="eastAsia"/>
      </w:rPr>
      <w:t>设计</w:t>
    </w:r>
    <w:r>
      <w:t>）</w:t>
    </w:r>
    <w:r>
      <w:rPr>
        <w:rFonts w:hint="eastAsia"/>
      </w:rPr>
      <w:t>题目</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Bdr>
        <w:bottom w:val="none" w:color="auto" w:sz="0" w:space="0"/>
      </w:pBd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AE367E9"/>
    <w:multiLevelType w:val="multilevel"/>
    <w:tmpl w:val="0AE367E9"/>
    <w:lvl w:ilvl="0" w:tentative="0">
      <w:start w:val="1"/>
      <w:numFmt w:val="none"/>
      <w:pStyle w:val="41"/>
      <w:lvlText w:val="%1示例"/>
      <w:lvlJc w:val="left"/>
      <w:pPr>
        <w:tabs>
          <w:tab w:val="left" w:pos="1120"/>
        </w:tabs>
        <w:ind w:left="0" w:firstLine="400"/>
      </w:pPr>
      <w:rPr>
        <w:rFonts w:hint="eastAsia" w:ascii="宋体" w:eastAsia="宋体"/>
        <w:b w:val="0"/>
        <w:i w:val="0"/>
        <w:sz w:val="18"/>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1B912F4C"/>
    <w:multiLevelType w:val="multilevel"/>
    <w:tmpl w:val="1B912F4C"/>
    <w:lvl w:ilvl="0" w:tentative="0">
      <w:start w:val="1"/>
      <w:numFmt w:val="decimal"/>
      <w:pStyle w:val="2"/>
      <w:lvlText w:val="%1"/>
      <w:lvlJc w:val="left"/>
      <w:pPr>
        <w:ind w:left="432" w:hanging="432"/>
      </w:pPr>
      <w:rPr>
        <w:rFonts w:hint="eastAsia"/>
      </w:rPr>
    </w:lvl>
    <w:lvl w:ilvl="1" w:tentative="0">
      <w:start w:val="1"/>
      <w:numFmt w:val="decimal"/>
      <w:pStyle w:val="3"/>
      <w:lvlText w:val="%1.%2"/>
      <w:lvlJc w:val="left"/>
      <w:pPr>
        <w:ind w:left="576" w:hanging="576"/>
      </w:pPr>
      <w:rPr>
        <w:rFonts w:hint="eastAsia"/>
      </w:rPr>
    </w:lvl>
    <w:lvl w:ilvl="2" w:tentative="0">
      <w:start w:val="1"/>
      <w:numFmt w:val="decimal"/>
      <w:lvlText w:val="%1.%2.%3"/>
      <w:lvlJc w:val="left"/>
      <w:pPr>
        <w:ind w:left="720" w:hanging="720"/>
      </w:pPr>
      <w:rPr>
        <w:rFonts w:hint="eastAsia"/>
      </w:rPr>
    </w:lvl>
    <w:lvl w:ilvl="3" w:tentative="0">
      <w:start w:val="1"/>
      <w:numFmt w:val="decimal"/>
      <w:pStyle w:val="5"/>
      <w:lvlText w:val="%1.%2.%3.%4"/>
      <w:lvlJc w:val="left"/>
      <w:pPr>
        <w:ind w:left="864" w:hanging="864"/>
      </w:pPr>
      <w:rPr>
        <w:rFonts w:hint="eastAsia"/>
      </w:rPr>
    </w:lvl>
    <w:lvl w:ilvl="4" w:tentative="0">
      <w:start w:val="1"/>
      <w:numFmt w:val="decimal"/>
      <w:pStyle w:val="6"/>
      <w:lvlText w:val="%1.%2.%3.%4.%5"/>
      <w:lvlJc w:val="left"/>
      <w:pPr>
        <w:ind w:left="1008" w:hanging="1008"/>
      </w:pPr>
      <w:rPr>
        <w:rFonts w:hint="eastAsia"/>
      </w:rPr>
    </w:lvl>
    <w:lvl w:ilvl="5" w:tentative="0">
      <w:start w:val="1"/>
      <w:numFmt w:val="decimal"/>
      <w:pStyle w:val="7"/>
      <w:lvlText w:val="%1.%2.%3.%4.%5.%6"/>
      <w:lvlJc w:val="left"/>
      <w:pPr>
        <w:ind w:left="1152" w:hanging="1152"/>
      </w:pPr>
      <w:rPr>
        <w:rFonts w:hint="eastAsia"/>
      </w:rPr>
    </w:lvl>
    <w:lvl w:ilvl="6" w:tentative="0">
      <w:start w:val="1"/>
      <w:numFmt w:val="decimal"/>
      <w:pStyle w:val="8"/>
      <w:lvlText w:val="%1.%2.%3.%4.%5.%6.%7"/>
      <w:lvlJc w:val="left"/>
      <w:pPr>
        <w:ind w:left="1296" w:hanging="1296"/>
      </w:pPr>
      <w:rPr>
        <w:rFonts w:hint="eastAsia"/>
      </w:rPr>
    </w:lvl>
    <w:lvl w:ilvl="7" w:tentative="0">
      <w:start w:val="1"/>
      <w:numFmt w:val="decimal"/>
      <w:pStyle w:val="9"/>
      <w:lvlText w:val="%1.%2.%3.%4.%5.%6.%7.%8"/>
      <w:lvlJc w:val="left"/>
      <w:pPr>
        <w:ind w:left="1440" w:hanging="1440"/>
      </w:pPr>
      <w:rPr>
        <w:rFonts w:hint="eastAsia"/>
      </w:rPr>
    </w:lvl>
    <w:lvl w:ilvl="8" w:tentative="0">
      <w:start w:val="1"/>
      <w:numFmt w:val="decimal"/>
      <w:pStyle w:val="10"/>
      <w:lvlText w:val="%1.%2.%3.%4.%5.%6.%7.%8.%9"/>
      <w:lvlJc w:val="left"/>
      <w:pPr>
        <w:ind w:left="1584" w:hanging="1584"/>
      </w:pPr>
      <w:rPr>
        <w:rFonts w:hint="eastAsia"/>
      </w:rPr>
    </w:lvl>
  </w:abstractNum>
  <w:abstractNum w:abstractNumId="2">
    <w:nsid w:val="27C856D1"/>
    <w:multiLevelType w:val="multilevel"/>
    <w:tmpl w:val="27C856D1"/>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6CEA2025"/>
    <w:multiLevelType w:val="multilevel"/>
    <w:tmpl w:val="6CEA2025"/>
    <w:lvl w:ilvl="0" w:tentative="0">
      <w:start w:val="1"/>
      <w:numFmt w:val="none"/>
      <w:pStyle w:val="33"/>
      <w:suff w:val="nothing"/>
      <w:lvlText w:val="%1"/>
      <w:lvlJc w:val="left"/>
      <w:pPr>
        <w:ind w:left="0" w:firstLine="0"/>
      </w:pPr>
      <w:rPr>
        <w:rFonts w:hint="default" w:ascii="Times New Roman" w:hAnsi="Times New Roman"/>
        <w:b/>
        <w:i w:val="0"/>
        <w:sz w:val="21"/>
      </w:rPr>
    </w:lvl>
    <w:lvl w:ilvl="1" w:tentative="0">
      <w:start w:val="1"/>
      <w:numFmt w:val="decimal"/>
      <w:suff w:val="nothing"/>
      <w:lvlText w:val="%1%2　"/>
      <w:lvlJc w:val="left"/>
      <w:pPr>
        <w:ind w:left="0" w:firstLine="0"/>
      </w:pPr>
      <w:rPr>
        <w:rFonts w:hint="eastAsia" w:ascii="黑体" w:hAnsi="Times New Roman" w:eastAsia="黑体"/>
        <w:b w:val="0"/>
        <w:i w:val="0"/>
        <w:sz w:val="21"/>
      </w:rPr>
    </w:lvl>
    <w:lvl w:ilvl="2" w:tentative="0">
      <w:start w:val="1"/>
      <w:numFmt w:val="decimal"/>
      <w:suff w:val="nothing"/>
      <w:lvlText w:val="%1%2.%3　"/>
      <w:lvlJc w:val="left"/>
      <w:pPr>
        <w:ind w:left="0" w:firstLine="0"/>
      </w:pPr>
      <w:rPr>
        <w:rFonts w:hint="eastAsia" w:ascii="黑体" w:hAnsi="Times New Roman" w:eastAsia="黑体"/>
        <w:b w:val="0"/>
        <w:i w:val="0"/>
        <w:sz w:val="21"/>
      </w:rPr>
    </w:lvl>
    <w:lvl w:ilvl="3" w:tentative="0">
      <w:start w:val="1"/>
      <w:numFmt w:val="decimal"/>
      <w:suff w:val="nothing"/>
      <w:lvlText w:val="%1%2.%3.%4　"/>
      <w:lvlJc w:val="left"/>
      <w:pPr>
        <w:ind w:left="0" w:firstLine="0"/>
      </w:pPr>
      <w:rPr>
        <w:rFonts w:hint="eastAsia" w:ascii="黑体" w:hAnsi="Times New Roman" w:eastAsia="黑体"/>
        <w:b w:val="0"/>
        <w:i w:val="0"/>
        <w:sz w:val="21"/>
      </w:rPr>
    </w:lvl>
    <w:lvl w:ilvl="4" w:tentative="0">
      <w:start w:val="1"/>
      <w:numFmt w:val="decimal"/>
      <w:suff w:val="nothing"/>
      <w:lvlText w:val="%1%2.%3.%4.%5　"/>
      <w:lvlJc w:val="left"/>
      <w:pPr>
        <w:ind w:left="0" w:firstLine="0"/>
      </w:pPr>
      <w:rPr>
        <w:rFonts w:hint="eastAsia" w:ascii="黑体" w:hAnsi="Times New Roman" w:eastAsia="黑体"/>
        <w:b w:val="0"/>
        <w:i w:val="0"/>
        <w:sz w:val="21"/>
      </w:rPr>
    </w:lvl>
    <w:lvl w:ilvl="5" w:tentative="0">
      <w:start w:val="1"/>
      <w:numFmt w:val="decimal"/>
      <w:suff w:val="nothing"/>
      <w:lvlText w:val="%1%2.%3.%4.%5.%6　"/>
      <w:lvlJc w:val="left"/>
      <w:pPr>
        <w:ind w:left="0" w:firstLine="0"/>
      </w:pPr>
      <w:rPr>
        <w:rFonts w:hint="eastAsia" w:ascii="黑体" w:hAnsi="Times New Roman" w:eastAsia="黑体"/>
        <w:b w:val="0"/>
        <w:i w:val="0"/>
        <w:sz w:val="21"/>
      </w:rPr>
    </w:lvl>
    <w:lvl w:ilvl="6" w:tentative="0">
      <w:start w:val="1"/>
      <w:numFmt w:val="decimal"/>
      <w:suff w:val="nothing"/>
      <w:lvlText w:val="%1%2.%3.%4.%5.%6.%7　"/>
      <w:lvlJc w:val="left"/>
      <w:pPr>
        <w:ind w:left="0" w:firstLine="0"/>
      </w:pPr>
      <w:rPr>
        <w:rFonts w:hint="eastAsia" w:ascii="黑体" w:hAnsi="Times New Roman" w:eastAsia="黑体"/>
        <w:b w:val="0"/>
        <w:i w:val="0"/>
        <w:sz w:val="21"/>
      </w:rPr>
    </w:lvl>
    <w:lvl w:ilvl="7" w:tentative="0">
      <w:start w:val="1"/>
      <w:numFmt w:val="decimal"/>
      <w:lvlText w:val="%1.%2.%3.%4.%5.%6.%7.%8"/>
      <w:lvlJc w:val="left"/>
      <w:pPr>
        <w:tabs>
          <w:tab w:val="left" w:pos="4351"/>
        </w:tabs>
        <w:ind w:left="3969" w:hanging="1418"/>
      </w:pPr>
      <w:rPr>
        <w:rFonts w:hint="eastAsia"/>
      </w:rPr>
    </w:lvl>
    <w:lvl w:ilvl="8" w:tentative="0">
      <w:start w:val="1"/>
      <w:numFmt w:val="decimal"/>
      <w:lvlText w:val="%1.%2.%3.%4.%5.%6.%7.%8.%9"/>
      <w:lvlJc w:val="left"/>
      <w:pPr>
        <w:tabs>
          <w:tab w:val="left" w:pos="4777"/>
        </w:tabs>
        <w:ind w:left="4677" w:hanging="1700"/>
      </w:pPr>
      <w:rPr>
        <w:rFonts w:hint="eastAsia"/>
      </w:rPr>
    </w:lvl>
  </w:abstractNum>
  <w:abstractNum w:abstractNumId="4">
    <w:nsid w:val="76933334"/>
    <w:multiLevelType w:val="multilevel"/>
    <w:tmpl w:val="76933334"/>
    <w:lvl w:ilvl="0" w:tentative="0">
      <w:start w:val="1"/>
      <w:numFmt w:val="none"/>
      <w:pStyle w:val="42"/>
      <w:lvlText w:val="%1——"/>
      <w:lvlJc w:val="left"/>
      <w:pPr>
        <w:tabs>
          <w:tab w:val="left" w:pos="1140"/>
        </w:tabs>
        <w:ind w:left="84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1"/>
  </w:num>
  <w:num w:numId="2">
    <w:abstractNumId w:val="3"/>
  </w:num>
  <w:num w:numId="3">
    <w:abstractNumId w:val="0"/>
  </w:num>
  <w:num w:numId="4">
    <w:abstractNumId w:val="4"/>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1"/>
  <w:bordersDoNotSurroundHeader w:val="0"/>
  <w:bordersDoNotSurroundFooter w:val="0"/>
  <w:documentProtection w:enforcement="0"/>
  <w:defaultTabStop w:val="420"/>
  <w:evenAndOddHeaders w:val="1"/>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U1ODYxNGQ2ZmVlYTM1ZjFlZWE5NjllYTcxMDllNmMifQ=="/>
  </w:docVars>
  <w:rsids>
    <w:rsidRoot w:val="001355AC"/>
    <w:rsid w:val="00004548"/>
    <w:rsid w:val="00006623"/>
    <w:rsid w:val="000107DD"/>
    <w:rsid w:val="00014137"/>
    <w:rsid w:val="00014267"/>
    <w:rsid w:val="00016C7D"/>
    <w:rsid w:val="00021B95"/>
    <w:rsid w:val="00026DD8"/>
    <w:rsid w:val="0003787F"/>
    <w:rsid w:val="00040960"/>
    <w:rsid w:val="00045E7F"/>
    <w:rsid w:val="0004632A"/>
    <w:rsid w:val="00053998"/>
    <w:rsid w:val="00057CD7"/>
    <w:rsid w:val="0006218B"/>
    <w:rsid w:val="000639A4"/>
    <w:rsid w:val="00063CFC"/>
    <w:rsid w:val="000649E8"/>
    <w:rsid w:val="00066262"/>
    <w:rsid w:val="00066FE7"/>
    <w:rsid w:val="0007178E"/>
    <w:rsid w:val="0007366C"/>
    <w:rsid w:val="00080B90"/>
    <w:rsid w:val="000829F1"/>
    <w:rsid w:val="00086EEC"/>
    <w:rsid w:val="000900EF"/>
    <w:rsid w:val="00090203"/>
    <w:rsid w:val="00090590"/>
    <w:rsid w:val="00091B1C"/>
    <w:rsid w:val="000920C0"/>
    <w:rsid w:val="00093BF4"/>
    <w:rsid w:val="000969CF"/>
    <w:rsid w:val="00097EF9"/>
    <w:rsid w:val="000A1C2A"/>
    <w:rsid w:val="000A2D77"/>
    <w:rsid w:val="000A32A2"/>
    <w:rsid w:val="000A5810"/>
    <w:rsid w:val="000A7B8A"/>
    <w:rsid w:val="000C2C04"/>
    <w:rsid w:val="000C4952"/>
    <w:rsid w:val="000D1128"/>
    <w:rsid w:val="000D1461"/>
    <w:rsid w:val="000D163C"/>
    <w:rsid w:val="000D20AC"/>
    <w:rsid w:val="000D320F"/>
    <w:rsid w:val="000D75F8"/>
    <w:rsid w:val="000E27CA"/>
    <w:rsid w:val="000E4363"/>
    <w:rsid w:val="000E5ED7"/>
    <w:rsid w:val="000F0AB0"/>
    <w:rsid w:val="000F20A5"/>
    <w:rsid w:val="000F37DC"/>
    <w:rsid w:val="000F7FAE"/>
    <w:rsid w:val="00100354"/>
    <w:rsid w:val="001005FD"/>
    <w:rsid w:val="00101262"/>
    <w:rsid w:val="00105842"/>
    <w:rsid w:val="00107D1F"/>
    <w:rsid w:val="00112495"/>
    <w:rsid w:val="00121FD1"/>
    <w:rsid w:val="001222BF"/>
    <w:rsid w:val="001223D9"/>
    <w:rsid w:val="00123DB2"/>
    <w:rsid w:val="00124C17"/>
    <w:rsid w:val="00126480"/>
    <w:rsid w:val="0013251C"/>
    <w:rsid w:val="00133B24"/>
    <w:rsid w:val="001355AC"/>
    <w:rsid w:val="00136A28"/>
    <w:rsid w:val="0014411E"/>
    <w:rsid w:val="0014537C"/>
    <w:rsid w:val="00146EDE"/>
    <w:rsid w:val="00153D27"/>
    <w:rsid w:val="001558E7"/>
    <w:rsid w:val="00157234"/>
    <w:rsid w:val="00162E44"/>
    <w:rsid w:val="00165BE1"/>
    <w:rsid w:val="00165CD8"/>
    <w:rsid w:val="00166860"/>
    <w:rsid w:val="00170BE6"/>
    <w:rsid w:val="001710F3"/>
    <w:rsid w:val="001716BE"/>
    <w:rsid w:val="00181CFB"/>
    <w:rsid w:val="00184F67"/>
    <w:rsid w:val="001858B9"/>
    <w:rsid w:val="00190D2E"/>
    <w:rsid w:val="001922B1"/>
    <w:rsid w:val="001925DE"/>
    <w:rsid w:val="00194923"/>
    <w:rsid w:val="001966C5"/>
    <w:rsid w:val="001A1D08"/>
    <w:rsid w:val="001A20E7"/>
    <w:rsid w:val="001A273C"/>
    <w:rsid w:val="001A5BAF"/>
    <w:rsid w:val="001A5F73"/>
    <w:rsid w:val="001B1546"/>
    <w:rsid w:val="001B4299"/>
    <w:rsid w:val="001B5690"/>
    <w:rsid w:val="001B5E2E"/>
    <w:rsid w:val="001B6AD2"/>
    <w:rsid w:val="001C5558"/>
    <w:rsid w:val="001C60E9"/>
    <w:rsid w:val="001D0CCA"/>
    <w:rsid w:val="001D273C"/>
    <w:rsid w:val="001D6CEC"/>
    <w:rsid w:val="001E67CD"/>
    <w:rsid w:val="001E7514"/>
    <w:rsid w:val="001E779D"/>
    <w:rsid w:val="001F2256"/>
    <w:rsid w:val="001F4E91"/>
    <w:rsid w:val="002013B7"/>
    <w:rsid w:val="00203346"/>
    <w:rsid w:val="00203BDC"/>
    <w:rsid w:val="002045E3"/>
    <w:rsid w:val="0020520F"/>
    <w:rsid w:val="00207597"/>
    <w:rsid w:val="002127B0"/>
    <w:rsid w:val="00212CF4"/>
    <w:rsid w:val="00213364"/>
    <w:rsid w:val="00215D56"/>
    <w:rsid w:val="00223C9A"/>
    <w:rsid w:val="00225DD9"/>
    <w:rsid w:val="00226697"/>
    <w:rsid w:val="00227EB6"/>
    <w:rsid w:val="002313FB"/>
    <w:rsid w:val="00231A83"/>
    <w:rsid w:val="00234B9D"/>
    <w:rsid w:val="00235A1B"/>
    <w:rsid w:val="00240848"/>
    <w:rsid w:val="002416C0"/>
    <w:rsid w:val="00243223"/>
    <w:rsid w:val="0024323A"/>
    <w:rsid w:val="002450B8"/>
    <w:rsid w:val="00250F8B"/>
    <w:rsid w:val="00251DF0"/>
    <w:rsid w:val="002537FD"/>
    <w:rsid w:val="00253DC8"/>
    <w:rsid w:val="00254AEB"/>
    <w:rsid w:val="00255AC7"/>
    <w:rsid w:val="00256635"/>
    <w:rsid w:val="0025739A"/>
    <w:rsid w:val="0026121B"/>
    <w:rsid w:val="0026146A"/>
    <w:rsid w:val="00265B52"/>
    <w:rsid w:val="00270BF6"/>
    <w:rsid w:val="00271EE0"/>
    <w:rsid w:val="00273D6A"/>
    <w:rsid w:val="00277983"/>
    <w:rsid w:val="002808CA"/>
    <w:rsid w:val="00280AA8"/>
    <w:rsid w:val="00280B16"/>
    <w:rsid w:val="00281B50"/>
    <w:rsid w:val="00284458"/>
    <w:rsid w:val="00284A59"/>
    <w:rsid w:val="00286E90"/>
    <w:rsid w:val="00290285"/>
    <w:rsid w:val="00291AF4"/>
    <w:rsid w:val="002938B1"/>
    <w:rsid w:val="002A2B97"/>
    <w:rsid w:val="002A3F48"/>
    <w:rsid w:val="002A56CE"/>
    <w:rsid w:val="002B04B8"/>
    <w:rsid w:val="002B2826"/>
    <w:rsid w:val="002B7B30"/>
    <w:rsid w:val="002C09EE"/>
    <w:rsid w:val="002C2643"/>
    <w:rsid w:val="002C3396"/>
    <w:rsid w:val="002C4A6B"/>
    <w:rsid w:val="002C5425"/>
    <w:rsid w:val="002C72C6"/>
    <w:rsid w:val="002C74CA"/>
    <w:rsid w:val="002D3FB0"/>
    <w:rsid w:val="002F0415"/>
    <w:rsid w:val="002F12F0"/>
    <w:rsid w:val="002F2BC8"/>
    <w:rsid w:val="002F69DA"/>
    <w:rsid w:val="0030122F"/>
    <w:rsid w:val="003056CD"/>
    <w:rsid w:val="003066A3"/>
    <w:rsid w:val="00306CC7"/>
    <w:rsid w:val="003156EB"/>
    <w:rsid w:val="00317C8F"/>
    <w:rsid w:val="00322C35"/>
    <w:rsid w:val="00323673"/>
    <w:rsid w:val="00330B68"/>
    <w:rsid w:val="003352AC"/>
    <w:rsid w:val="00335BAB"/>
    <w:rsid w:val="00335EE7"/>
    <w:rsid w:val="00340DC3"/>
    <w:rsid w:val="003427C4"/>
    <w:rsid w:val="003449DD"/>
    <w:rsid w:val="00345E0D"/>
    <w:rsid w:val="00346204"/>
    <w:rsid w:val="00351C29"/>
    <w:rsid w:val="00351C9D"/>
    <w:rsid w:val="00352746"/>
    <w:rsid w:val="003562E3"/>
    <w:rsid w:val="003601A0"/>
    <w:rsid w:val="003603F4"/>
    <w:rsid w:val="003623BA"/>
    <w:rsid w:val="003623E6"/>
    <w:rsid w:val="003632F4"/>
    <w:rsid w:val="003654BE"/>
    <w:rsid w:val="0037074C"/>
    <w:rsid w:val="00377035"/>
    <w:rsid w:val="00377154"/>
    <w:rsid w:val="00377274"/>
    <w:rsid w:val="003810EC"/>
    <w:rsid w:val="003863E3"/>
    <w:rsid w:val="0039385F"/>
    <w:rsid w:val="0039423F"/>
    <w:rsid w:val="003971C4"/>
    <w:rsid w:val="003B19A5"/>
    <w:rsid w:val="003B2AEA"/>
    <w:rsid w:val="003B6F5E"/>
    <w:rsid w:val="003B7593"/>
    <w:rsid w:val="003C5708"/>
    <w:rsid w:val="003C7870"/>
    <w:rsid w:val="003C7D9D"/>
    <w:rsid w:val="003D1452"/>
    <w:rsid w:val="003D3798"/>
    <w:rsid w:val="003D3B1B"/>
    <w:rsid w:val="003D659C"/>
    <w:rsid w:val="003D79F0"/>
    <w:rsid w:val="003D7B88"/>
    <w:rsid w:val="003E2AA0"/>
    <w:rsid w:val="003E5585"/>
    <w:rsid w:val="003E7E72"/>
    <w:rsid w:val="003F302B"/>
    <w:rsid w:val="003F3134"/>
    <w:rsid w:val="003F3A1D"/>
    <w:rsid w:val="003F40C1"/>
    <w:rsid w:val="00404630"/>
    <w:rsid w:val="00404791"/>
    <w:rsid w:val="0040698E"/>
    <w:rsid w:val="0041013E"/>
    <w:rsid w:val="004108D1"/>
    <w:rsid w:val="00412DEC"/>
    <w:rsid w:val="00413E1C"/>
    <w:rsid w:val="00415166"/>
    <w:rsid w:val="004169C2"/>
    <w:rsid w:val="004177B7"/>
    <w:rsid w:val="00421A36"/>
    <w:rsid w:val="00422349"/>
    <w:rsid w:val="00423069"/>
    <w:rsid w:val="004234BA"/>
    <w:rsid w:val="00424A64"/>
    <w:rsid w:val="00425F59"/>
    <w:rsid w:val="004271E2"/>
    <w:rsid w:val="00432481"/>
    <w:rsid w:val="00432A83"/>
    <w:rsid w:val="00434841"/>
    <w:rsid w:val="004348DC"/>
    <w:rsid w:val="00442FB6"/>
    <w:rsid w:val="004453D6"/>
    <w:rsid w:val="004457AC"/>
    <w:rsid w:val="004509C7"/>
    <w:rsid w:val="004512DD"/>
    <w:rsid w:val="004538E1"/>
    <w:rsid w:val="00455029"/>
    <w:rsid w:val="00455313"/>
    <w:rsid w:val="0045726F"/>
    <w:rsid w:val="0046063B"/>
    <w:rsid w:val="004607A1"/>
    <w:rsid w:val="00472BDD"/>
    <w:rsid w:val="00473DF0"/>
    <w:rsid w:val="0047470B"/>
    <w:rsid w:val="00481252"/>
    <w:rsid w:val="00481654"/>
    <w:rsid w:val="004828D5"/>
    <w:rsid w:val="00483841"/>
    <w:rsid w:val="004843D5"/>
    <w:rsid w:val="0048554B"/>
    <w:rsid w:val="00486ABD"/>
    <w:rsid w:val="00487DD0"/>
    <w:rsid w:val="004934C3"/>
    <w:rsid w:val="00494ABB"/>
    <w:rsid w:val="00494C21"/>
    <w:rsid w:val="00496219"/>
    <w:rsid w:val="0049744F"/>
    <w:rsid w:val="004A1CB1"/>
    <w:rsid w:val="004A46A6"/>
    <w:rsid w:val="004A717D"/>
    <w:rsid w:val="004B0F83"/>
    <w:rsid w:val="004B1228"/>
    <w:rsid w:val="004B2F3A"/>
    <w:rsid w:val="004B63A9"/>
    <w:rsid w:val="004B66C7"/>
    <w:rsid w:val="004B6AEF"/>
    <w:rsid w:val="004B6FEB"/>
    <w:rsid w:val="004C0699"/>
    <w:rsid w:val="004C16FF"/>
    <w:rsid w:val="004C2A5D"/>
    <w:rsid w:val="004C4654"/>
    <w:rsid w:val="004C68F5"/>
    <w:rsid w:val="004D07D4"/>
    <w:rsid w:val="004D540A"/>
    <w:rsid w:val="004D5493"/>
    <w:rsid w:val="004E2E43"/>
    <w:rsid w:val="004E385A"/>
    <w:rsid w:val="004F007C"/>
    <w:rsid w:val="004F02B5"/>
    <w:rsid w:val="004F06F6"/>
    <w:rsid w:val="004F5E45"/>
    <w:rsid w:val="004F7CA1"/>
    <w:rsid w:val="00500E45"/>
    <w:rsid w:val="005018AA"/>
    <w:rsid w:val="0050252A"/>
    <w:rsid w:val="005059E2"/>
    <w:rsid w:val="00510C47"/>
    <w:rsid w:val="00511C23"/>
    <w:rsid w:val="00513F66"/>
    <w:rsid w:val="00515060"/>
    <w:rsid w:val="00515397"/>
    <w:rsid w:val="005210F6"/>
    <w:rsid w:val="005214C3"/>
    <w:rsid w:val="00526D09"/>
    <w:rsid w:val="00530022"/>
    <w:rsid w:val="00530443"/>
    <w:rsid w:val="00533305"/>
    <w:rsid w:val="0053502F"/>
    <w:rsid w:val="00536C97"/>
    <w:rsid w:val="00537065"/>
    <w:rsid w:val="0053721F"/>
    <w:rsid w:val="0054005F"/>
    <w:rsid w:val="00540D01"/>
    <w:rsid w:val="00541557"/>
    <w:rsid w:val="00541A1D"/>
    <w:rsid w:val="00543718"/>
    <w:rsid w:val="00546229"/>
    <w:rsid w:val="00546447"/>
    <w:rsid w:val="0055213E"/>
    <w:rsid w:val="00553314"/>
    <w:rsid w:val="00557DB1"/>
    <w:rsid w:val="005627AF"/>
    <w:rsid w:val="0056318B"/>
    <w:rsid w:val="00567F7C"/>
    <w:rsid w:val="0057029F"/>
    <w:rsid w:val="00574D61"/>
    <w:rsid w:val="0057644B"/>
    <w:rsid w:val="00577BC4"/>
    <w:rsid w:val="00582310"/>
    <w:rsid w:val="00586A19"/>
    <w:rsid w:val="00586B8F"/>
    <w:rsid w:val="00586FC8"/>
    <w:rsid w:val="00590000"/>
    <w:rsid w:val="00591218"/>
    <w:rsid w:val="0059496E"/>
    <w:rsid w:val="005961AF"/>
    <w:rsid w:val="005A031E"/>
    <w:rsid w:val="005A0487"/>
    <w:rsid w:val="005A0613"/>
    <w:rsid w:val="005A7C86"/>
    <w:rsid w:val="005B631B"/>
    <w:rsid w:val="005C1EE4"/>
    <w:rsid w:val="005C3236"/>
    <w:rsid w:val="005C710D"/>
    <w:rsid w:val="005C73BA"/>
    <w:rsid w:val="005C754B"/>
    <w:rsid w:val="005D6541"/>
    <w:rsid w:val="005E357E"/>
    <w:rsid w:val="005E584C"/>
    <w:rsid w:val="005E5FB5"/>
    <w:rsid w:val="005E6264"/>
    <w:rsid w:val="005F1D27"/>
    <w:rsid w:val="005F2FE6"/>
    <w:rsid w:val="005F4A2B"/>
    <w:rsid w:val="0060049E"/>
    <w:rsid w:val="00603299"/>
    <w:rsid w:val="00607B3D"/>
    <w:rsid w:val="00610049"/>
    <w:rsid w:val="00610B97"/>
    <w:rsid w:val="006116FC"/>
    <w:rsid w:val="00612ABD"/>
    <w:rsid w:val="00614A42"/>
    <w:rsid w:val="006158A1"/>
    <w:rsid w:val="006228B6"/>
    <w:rsid w:val="00623098"/>
    <w:rsid w:val="00627516"/>
    <w:rsid w:val="00630F41"/>
    <w:rsid w:val="0063300D"/>
    <w:rsid w:val="00634718"/>
    <w:rsid w:val="00634E45"/>
    <w:rsid w:val="0063522A"/>
    <w:rsid w:val="0064455F"/>
    <w:rsid w:val="00644F46"/>
    <w:rsid w:val="00646C9E"/>
    <w:rsid w:val="006477E9"/>
    <w:rsid w:val="0065047D"/>
    <w:rsid w:val="00654834"/>
    <w:rsid w:val="00654D22"/>
    <w:rsid w:val="00654EC0"/>
    <w:rsid w:val="00665027"/>
    <w:rsid w:val="00666CC8"/>
    <w:rsid w:val="006748D7"/>
    <w:rsid w:val="00680FD1"/>
    <w:rsid w:val="0068134B"/>
    <w:rsid w:val="006820FF"/>
    <w:rsid w:val="0068337B"/>
    <w:rsid w:val="006848CA"/>
    <w:rsid w:val="00686223"/>
    <w:rsid w:val="00687F16"/>
    <w:rsid w:val="00692177"/>
    <w:rsid w:val="00693487"/>
    <w:rsid w:val="00696620"/>
    <w:rsid w:val="006A1EF6"/>
    <w:rsid w:val="006C01F9"/>
    <w:rsid w:val="006C47A2"/>
    <w:rsid w:val="006D024C"/>
    <w:rsid w:val="006D038D"/>
    <w:rsid w:val="006D0601"/>
    <w:rsid w:val="006D5E7F"/>
    <w:rsid w:val="006D7223"/>
    <w:rsid w:val="006E29E5"/>
    <w:rsid w:val="006E4F1A"/>
    <w:rsid w:val="006E588B"/>
    <w:rsid w:val="006F5A69"/>
    <w:rsid w:val="006F6B21"/>
    <w:rsid w:val="00701908"/>
    <w:rsid w:val="00702002"/>
    <w:rsid w:val="00703CA0"/>
    <w:rsid w:val="00707B3F"/>
    <w:rsid w:val="00710FB9"/>
    <w:rsid w:val="0071185B"/>
    <w:rsid w:val="00711928"/>
    <w:rsid w:val="00714413"/>
    <w:rsid w:val="00716295"/>
    <w:rsid w:val="00716519"/>
    <w:rsid w:val="00717210"/>
    <w:rsid w:val="007211A4"/>
    <w:rsid w:val="00722174"/>
    <w:rsid w:val="007261ED"/>
    <w:rsid w:val="00730B8B"/>
    <w:rsid w:val="00734258"/>
    <w:rsid w:val="00734D08"/>
    <w:rsid w:val="0074000A"/>
    <w:rsid w:val="00740E23"/>
    <w:rsid w:val="007608CB"/>
    <w:rsid w:val="00764C1D"/>
    <w:rsid w:val="007710D0"/>
    <w:rsid w:val="007723B6"/>
    <w:rsid w:val="00776D75"/>
    <w:rsid w:val="00777772"/>
    <w:rsid w:val="00781AEF"/>
    <w:rsid w:val="0078480C"/>
    <w:rsid w:val="00785160"/>
    <w:rsid w:val="00791755"/>
    <w:rsid w:val="00791A82"/>
    <w:rsid w:val="00792082"/>
    <w:rsid w:val="00792A90"/>
    <w:rsid w:val="00794234"/>
    <w:rsid w:val="007975A9"/>
    <w:rsid w:val="007977D2"/>
    <w:rsid w:val="007A0B77"/>
    <w:rsid w:val="007A2C2D"/>
    <w:rsid w:val="007A421B"/>
    <w:rsid w:val="007B09C9"/>
    <w:rsid w:val="007B17B8"/>
    <w:rsid w:val="007B4C28"/>
    <w:rsid w:val="007B5CBC"/>
    <w:rsid w:val="007B690A"/>
    <w:rsid w:val="007B7449"/>
    <w:rsid w:val="007C0689"/>
    <w:rsid w:val="007C12C6"/>
    <w:rsid w:val="007C2D55"/>
    <w:rsid w:val="007D0383"/>
    <w:rsid w:val="007D09C8"/>
    <w:rsid w:val="007D12EE"/>
    <w:rsid w:val="007D1E0A"/>
    <w:rsid w:val="007D3FF9"/>
    <w:rsid w:val="007D4461"/>
    <w:rsid w:val="007D744F"/>
    <w:rsid w:val="007D7DB9"/>
    <w:rsid w:val="007D7E4C"/>
    <w:rsid w:val="007E003C"/>
    <w:rsid w:val="007E5928"/>
    <w:rsid w:val="007E5E99"/>
    <w:rsid w:val="007E7937"/>
    <w:rsid w:val="007F1005"/>
    <w:rsid w:val="007F2142"/>
    <w:rsid w:val="007F4B91"/>
    <w:rsid w:val="008037AA"/>
    <w:rsid w:val="00803819"/>
    <w:rsid w:val="008046C4"/>
    <w:rsid w:val="008069B7"/>
    <w:rsid w:val="0080710F"/>
    <w:rsid w:val="00812A79"/>
    <w:rsid w:val="00816562"/>
    <w:rsid w:val="00824BD0"/>
    <w:rsid w:val="00825F00"/>
    <w:rsid w:val="00832D34"/>
    <w:rsid w:val="00835956"/>
    <w:rsid w:val="00836FB3"/>
    <w:rsid w:val="00837B90"/>
    <w:rsid w:val="008412CB"/>
    <w:rsid w:val="0084641A"/>
    <w:rsid w:val="008517B3"/>
    <w:rsid w:val="00854999"/>
    <w:rsid w:val="00856384"/>
    <w:rsid w:val="008618AD"/>
    <w:rsid w:val="00862A4E"/>
    <w:rsid w:val="008636D3"/>
    <w:rsid w:val="008653A1"/>
    <w:rsid w:val="008671B9"/>
    <w:rsid w:val="008731C1"/>
    <w:rsid w:val="0087370A"/>
    <w:rsid w:val="00873B0B"/>
    <w:rsid w:val="0087740C"/>
    <w:rsid w:val="008833E2"/>
    <w:rsid w:val="00890450"/>
    <w:rsid w:val="00890A70"/>
    <w:rsid w:val="008924C0"/>
    <w:rsid w:val="0089427B"/>
    <w:rsid w:val="0089497E"/>
    <w:rsid w:val="0089614B"/>
    <w:rsid w:val="00896648"/>
    <w:rsid w:val="00896BD1"/>
    <w:rsid w:val="00897D21"/>
    <w:rsid w:val="008A20B0"/>
    <w:rsid w:val="008A23A5"/>
    <w:rsid w:val="008A39A8"/>
    <w:rsid w:val="008B187B"/>
    <w:rsid w:val="008B4F72"/>
    <w:rsid w:val="008B77B7"/>
    <w:rsid w:val="008B7D99"/>
    <w:rsid w:val="008C1001"/>
    <w:rsid w:val="008C62A3"/>
    <w:rsid w:val="008C6B4C"/>
    <w:rsid w:val="008D14F9"/>
    <w:rsid w:val="008D3AFF"/>
    <w:rsid w:val="008D53EF"/>
    <w:rsid w:val="008E10EB"/>
    <w:rsid w:val="008E347C"/>
    <w:rsid w:val="008E3A09"/>
    <w:rsid w:val="008E5AD6"/>
    <w:rsid w:val="008E75D2"/>
    <w:rsid w:val="008F054D"/>
    <w:rsid w:val="008F0BD3"/>
    <w:rsid w:val="008F1189"/>
    <w:rsid w:val="008F34C6"/>
    <w:rsid w:val="008F4F77"/>
    <w:rsid w:val="00901A5C"/>
    <w:rsid w:val="00903E39"/>
    <w:rsid w:val="009116F6"/>
    <w:rsid w:val="00911AC9"/>
    <w:rsid w:val="00916917"/>
    <w:rsid w:val="00921379"/>
    <w:rsid w:val="00921C68"/>
    <w:rsid w:val="009232A9"/>
    <w:rsid w:val="009251F5"/>
    <w:rsid w:val="009279A1"/>
    <w:rsid w:val="0093060E"/>
    <w:rsid w:val="0093238F"/>
    <w:rsid w:val="00932F76"/>
    <w:rsid w:val="009334E2"/>
    <w:rsid w:val="0093444E"/>
    <w:rsid w:val="00937C02"/>
    <w:rsid w:val="00944172"/>
    <w:rsid w:val="00944297"/>
    <w:rsid w:val="0094529A"/>
    <w:rsid w:val="00945CCB"/>
    <w:rsid w:val="00946FA9"/>
    <w:rsid w:val="009516DC"/>
    <w:rsid w:val="0095190B"/>
    <w:rsid w:val="00951ADD"/>
    <w:rsid w:val="00953857"/>
    <w:rsid w:val="009545AE"/>
    <w:rsid w:val="009566BA"/>
    <w:rsid w:val="00957D95"/>
    <w:rsid w:val="009616F7"/>
    <w:rsid w:val="0096362E"/>
    <w:rsid w:val="0096760D"/>
    <w:rsid w:val="00971087"/>
    <w:rsid w:val="0097122A"/>
    <w:rsid w:val="0097122F"/>
    <w:rsid w:val="009739AA"/>
    <w:rsid w:val="00974666"/>
    <w:rsid w:val="00976BCF"/>
    <w:rsid w:val="00977051"/>
    <w:rsid w:val="00980E48"/>
    <w:rsid w:val="009811ED"/>
    <w:rsid w:val="00986D47"/>
    <w:rsid w:val="00992DDC"/>
    <w:rsid w:val="00993059"/>
    <w:rsid w:val="009946AF"/>
    <w:rsid w:val="009A08A7"/>
    <w:rsid w:val="009A2949"/>
    <w:rsid w:val="009A2EB1"/>
    <w:rsid w:val="009A5825"/>
    <w:rsid w:val="009B3D8B"/>
    <w:rsid w:val="009B4BCE"/>
    <w:rsid w:val="009C0952"/>
    <w:rsid w:val="009C4A55"/>
    <w:rsid w:val="009C60DF"/>
    <w:rsid w:val="009D0431"/>
    <w:rsid w:val="009D0BB6"/>
    <w:rsid w:val="009D4B94"/>
    <w:rsid w:val="009D60AE"/>
    <w:rsid w:val="009D60DE"/>
    <w:rsid w:val="009D71DC"/>
    <w:rsid w:val="009E0B07"/>
    <w:rsid w:val="009E3634"/>
    <w:rsid w:val="009E55C1"/>
    <w:rsid w:val="009E6563"/>
    <w:rsid w:val="009E6ECA"/>
    <w:rsid w:val="009F0896"/>
    <w:rsid w:val="009F10D1"/>
    <w:rsid w:val="009F1414"/>
    <w:rsid w:val="009F37E6"/>
    <w:rsid w:val="009F4DA3"/>
    <w:rsid w:val="009F58E1"/>
    <w:rsid w:val="009F638B"/>
    <w:rsid w:val="009F68D6"/>
    <w:rsid w:val="00A011B7"/>
    <w:rsid w:val="00A0526A"/>
    <w:rsid w:val="00A054BA"/>
    <w:rsid w:val="00A10C8A"/>
    <w:rsid w:val="00A11665"/>
    <w:rsid w:val="00A16BEB"/>
    <w:rsid w:val="00A21982"/>
    <w:rsid w:val="00A27DEF"/>
    <w:rsid w:val="00A310E3"/>
    <w:rsid w:val="00A31EE3"/>
    <w:rsid w:val="00A32262"/>
    <w:rsid w:val="00A35CDB"/>
    <w:rsid w:val="00A362F1"/>
    <w:rsid w:val="00A413FE"/>
    <w:rsid w:val="00A44E2B"/>
    <w:rsid w:val="00A47614"/>
    <w:rsid w:val="00A477F0"/>
    <w:rsid w:val="00A50D28"/>
    <w:rsid w:val="00A513BA"/>
    <w:rsid w:val="00A5588F"/>
    <w:rsid w:val="00A57134"/>
    <w:rsid w:val="00A574E0"/>
    <w:rsid w:val="00A5786C"/>
    <w:rsid w:val="00A60802"/>
    <w:rsid w:val="00A64E8E"/>
    <w:rsid w:val="00A67CF2"/>
    <w:rsid w:val="00A72D7D"/>
    <w:rsid w:val="00A731A6"/>
    <w:rsid w:val="00A738EA"/>
    <w:rsid w:val="00A75A4B"/>
    <w:rsid w:val="00A76761"/>
    <w:rsid w:val="00A77063"/>
    <w:rsid w:val="00A81E51"/>
    <w:rsid w:val="00A8281C"/>
    <w:rsid w:val="00A83C84"/>
    <w:rsid w:val="00A84A63"/>
    <w:rsid w:val="00A85493"/>
    <w:rsid w:val="00A85652"/>
    <w:rsid w:val="00A8746E"/>
    <w:rsid w:val="00A90481"/>
    <w:rsid w:val="00A928BA"/>
    <w:rsid w:val="00A96DD4"/>
    <w:rsid w:val="00AA0A1E"/>
    <w:rsid w:val="00AA71CD"/>
    <w:rsid w:val="00AB1BE6"/>
    <w:rsid w:val="00AB28CF"/>
    <w:rsid w:val="00AB3468"/>
    <w:rsid w:val="00AB6245"/>
    <w:rsid w:val="00AC0826"/>
    <w:rsid w:val="00AC1218"/>
    <w:rsid w:val="00AC6E1C"/>
    <w:rsid w:val="00AD1533"/>
    <w:rsid w:val="00AD3E2D"/>
    <w:rsid w:val="00AD4D99"/>
    <w:rsid w:val="00AE09DF"/>
    <w:rsid w:val="00AE42E5"/>
    <w:rsid w:val="00AE4674"/>
    <w:rsid w:val="00AE5C88"/>
    <w:rsid w:val="00AF015E"/>
    <w:rsid w:val="00AF1323"/>
    <w:rsid w:val="00AF1436"/>
    <w:rsid w:val="00AF335D"/>
    <w:rsid w:val="00AF5B42"/>
    <w:rsid w:val="00B0284B"/>
    <w:rsid w:val="00B02C84"/>
    <w:rsid w:val="00B06209"/>
    <w:rsid w:val="00B0774E"/>
    <w:rsid w:val="00B07BAD"/>
    <w:rsid w:val="00B101C0"/>
    <w:rsid w:val="00B25B4E"/>
    <w:rsid w:val="00B26406"/>
    <w:rsid w:val="00B26989"/>
    <w:rsid w:val="00B27AE7"/>
    <w:rsid w:val="00B35620"/>
    <w:rsid w:val="00B36371"/>
    <w:rsid w:val="00B40EA8"/>
    <w:rsid w:val="00B41302"/>
    <w:rsid w:val="00B42614"/>
    <w:rsid w:val="00B44C3A"/>
    <w:rsid w:val="00B45EA5"/>
    <w:rsid w:val="00B50BD2"/>
    <w:rsid w:val="00B52E52"/>
    <w:rsid w:val="00B539B3"/>
    <w:rsid w:val="00B54FE1"/>
    <w:rsid w:val="00B55101"/>
    <w:rsid w:val="00B57A66"/>
    <w:rsid w:val="00B608C9"/>
    <w:rsid w:val="00B610D7"/>
    <w:rsid w:val="00B61D8D"/>
    <w:rsid w:val="00B63096"/>
    <w:rsid w:val="00B63657"/>
    <w:rsid w:val="00B64120"/>
    <w:rsid w:val="00B64873"/>
    <w:rsid w:val="00B6663D"/>
    <w:rsid w:val="00B73218"/>
    <w:rsid w:val="00B7328F"/>
    <w:rsid w:val="00B83B3F"/>
    <w:rsid w:val="00B84B17"/>
    <w:rsid w:val="00B87F1D"/>
    <w:rsid w:val="00B928C0"/>
    <w:rsid w:val="00B92C59"/>
    <w:rsid w:val="00BA1707"/>
    <w:rsid w:val="00BA2C2F"/>
    <w:rsid w:val="00BA5E18"/>
    <w:rsid w:val="00BA6C80"/>
    <w:rsid w:val="00BB137D"/>
    <w:rsid w:val="00BB2130"/>
    <w:rsid w:val="00BB45A6"/>
    <w:rsid w:val="00BB5787"/>
    <w:rsid w:val="00BC1588"/>
    <w:rsid w:val="00BC34F3"/>
    <w:rsid w:val="00BC4AC0"/>
    <w:rsid w:val="00BD0966"/>
    <w:rsid w:val="00BD6B9C"/>
    <w:rsid w:val="00BD7396"/>
    <w:rsid w:val="00BE21F1"/>
    <w:rsid w:val="00BE7845"/>
    <w:rsid w:val="00BF0013"/>
    <w:rsid w:val="00BF3258"/>
    <w:rsid w:val="00BF43CF"/>
    <w:rsid w:val="00BF5E0B"/>
    <w:rsid w:val="00C0130D"/>
    <w:rsid w:val="00C01B0A"/>
    <w:rsid w:val="00C0551C"/>
    <w:rsid w:val="00C0559C"/>
    <w:rsid w:val="00C10092"/>
    <w:rsid w:val="00C11958"/>
    <w:rsid w:val="00C1446E"/>
    <w:rsid w:val="00C16A00"/>
    <w:rsid w:val="00C1755C"/>
    <w:rsid w:val="00C17EA9"/>
    <w:rsid w:val="00C2134F"/>
    <w:rsid w:val="00C234C7"/>
    <w:rsid w:val="00C24F76"/>
    <w:rsid w:val="00C25A61"/>
    <w:rsid w:val="00C3103E"/>
    <w:rsid w:val="00C3354F"/>
    <w:rsid w:val="00C34CFC"/>
    <w:rsid w:val="00C3547A"/>
    <w:rsid w:val="00C36EE9"/>
    <w:rsid w:val="00C41FE4"/>
    <w:rsid w:val="00C43AAA"/>
    <w:rsid w:val="00C45BBA"/>
    <w:rsid w:val="00C541D6"/>
    <w:rsid w:val="00C55546"/>
    <w:rsid w:val="00C5736B"/>
    <w:rsid w:val="00C61159"/>
    <w:rsid w:val="00C61628"/>
    <w:rsid w:val="00C71F00"/>
    <w:rsid w:val="00C7266B"/>
    <w:rsid w:val="00C735C0"/>
    <w:rsid w:val="00C773A0"/>
    <w:rsid w:val="00C80A09"/>
    <w:rsid w:val="00C82627"/>
    <w:rsid w:val="00C8394A"/>
    <w:rsid w:val="00C84460"/>
    <w:rsid w:val="00C84AB9"/>
    <w:rsid w:val="00C91895"/>
    <w:rsid w:val="00C92537"/>
    <w:rsid w:val="00C939F6"/>
    <w:rsid w:val="00C94FAF"/>
    <w:rsid w:val="00C958A0"/>
    <w:rsid w:val="00CA0711"/>
    <w:rsid w:val="00CA0E16"/>
    <w:rsid w:val="00CA2CC6"/>
    <w:rsid w:val="00CA306C"/>
    <w:rsid w:val="00CA45C6"/>
    <w:rsid w:val="00CB1685"/>
    <w:rsid w:val="00CB18CA"/>
    <w:rsid w:val="00CB2C38"/>
    <w:rsid w:val="00CB315F"/>
    <w:rsid w:val="00CB404F"/>
    <w:rsid w:val="00CB6E1F"/>
    <w:rsid w:val="00CC1B7B"/>
    <w:rsid w:val="00CC1BE2"/>
    <w:rsid w:val="00CC381D"/>
    <w:rsid w:val="00CC5CEF"/>
    <w:rsid w:val="00CC5D47"/>
    <w:rsid w:val="00CC6636"/>
    <w:rsid w:val="00CC6B5F"/>
    <w:rsid w:val="00CD41A0"/>
    <w:rsid w:val="00CD4972"/>
    <w:rsid w:val="00CD5036"/>
    <w:rsid w:val="00CD60F8"/>
    <w:rsid w:val="00CD61BF"/>
    <w:rsid w:val="00CD7289"/>
    <w:rsid w:val="00CE494A"/>
    <w:rsid w:val="00CE4A1E"/>
    <w:rsid w:val="00CE4A67"/>
    <w:rsid w:val="00CE7DFC"/>
    <w:rsid w:val="00CF27B9"/>
    <w:rsid w:val="00D0048B"/>
    <w:rsid w:val="00D011C1"/>
    <w:rsid w:val="00D0285B"/>
    <w:rsid w:val="00D02CBC"/>
    <w:rsid w:val="00D11E60"/>
    <w:rsid w:val="00D1237C"/>
    <w:rsid w:val="00D16FA1"/>
    <w:rsid w:val="00D178CC"/>
    <w:rsid w:val="00D17BB4"/>
    <w:rsid w:val="00D36900"/>
    <w:rsid w:val="00D36C3B"/>
    <w:rsid w:val="00D4224F"/>
    <w:rsid w:val="00D42C9E"/>
    <w:rsid w:val="00D45F01"/>
    <w:rsid w:val="00D54065"/>
    <w:rsid w:val="00D553C5"/>
    <w:rsid w:val="00D5675C"/>
    <w:rsid w:val="00D577C3"/>
    <w:rsid w:val="00D579F9"/>
    <w:rsid w:val="00D57A03"/>
    <w:rsid w:val="00D641B9"/>
    <w:rsid w:val="00D64684"/>
    <w:rsid w:val="00D7161E"/>
    <w:rsid w:val="00D722EC"/>
    <w:rsid w:val="00D74865"/>
    <w:rsid w:val="00D808D6"/>
    <w:rsid w:val="00D80918"/>
    <w:rsid w:val="00D86FBF"/>
    <w:rsid w:val="00D90C82"/>
    <w:rsid w:val="00D925C3"/>
    <w:rsid w:val="00D97B98"/>
    <w:rsid w:val="00DA7DDC"/>
    <w:rsid w:val="00DB130F"/>
    <w:rsid w:val="00DB39EB"/>
    <w:rsid w:val="00DB450E"/>
    <w:rsid w:val="00DC1639"/>
    <w:rsid w:val="00DE030C"/>
    <w:rsid w:val="00DE3C36"/>
    <w:rsid w:val="00DF49B5"/>
    <w:rsid w:val="00DF6F4B"/>
    <w:rsid w:val="00E009C1"/>
    <w:rsid w:val="00E0510F"/>
    <w:rsid w:val="00E05C7B"/>
    <w:rsid w:val="00E0613B"/>
    <w:rsid w:val="00E10F3A"/>
    <w:rsid w:val="00E12C56"/>
    <w:rsid w:val="00E1651D"/>
    <w:rsid w:val="00E16FDA"/>
    <w:rsid w:val="00E2239C"/>
    <w:rsid w:val="00E25A3E"/>
    <w:rsid w:val="00E26CE7"/>
    <w:rsid w:val="00E32595"/>
    <w:rsid w:val="00E32962"/>
    <w:rsid w:val="00E32DCA"/>
    <w:rsid w:val="00E33932"/>
    <w:rsid w:val="00E3416F"/>
    <w:rsid w:val="00E34465"/>
    <w:rsid w:val="00E356AB"/>
    <w:rsid w:val="00E366F4"/>
    <w:rsid w:val="00E37701"/>
    <w:rsid w:val="00E41E8D"/>
    <w:rsid w:val="00E4318A"/>
    <w:rsid w:val="00E44639"/>
    <w:rsid w:val="00E45766"/>
    <w:rsid w:val="00E5694A"/>
    <w:rsid w:val="00E571A1"/>
    <w:rsid w:val="00E57218"/>
    <w:rsid w:val="00E61647"/>
    <w:rsid w:val="00E62D3B"/>
    <w:rsid w:val="00E63907"/>
    <w:rsid w:val="00E66ABA"/>
    <w:rsid w:val="00E67F3B"/>
    <w:rsid w:val="00E70262"/>
    <w:rsid w:val="00E74A56"/>
    <w:rsid w:val="00E772AF"/>
    <w:rsid w:val="00E77AAC"/>
    <w:rsid w:val="00E84545"/>
    <w:rsid w:val="00E87B23"/>
    <w:rsid w:val="00E87D98"/>
    <w:rsid w:val="00E87E61"/>
    <w:rsid w:val="00E90B5F"/>
    <w:rsid w:val="00E91603"/>
    <w:rsid w:val="00E91DF8"/>
    <w:rsid w:val="00E91E0C"/>
    <w:rsid w:val="00E94E79"/>
    <w:rsid w:val="00E9529C"/>
    <w:rsid w:val="00E95350"/>
    <w:rsid w:val="00E956FD"/>
    <w:rsid w:val="00E95782"/>
    <w:rsid w:val="00EA070F"/>
    <w:rsid w:val="00EA22DB"/>
    <w:rsid w:val="00EA3BA9"/>
    <w:rsid w:val="00EA5C89"/>
    <w:rsid w:val="00EA66CF"/>
    <w:rsid w:val="00EA6C39"/>
    <w:rsid w:val="00EB05C9"/>
    <w:rsid w:val="00EB28EC"/>
    <w:rsid w:val="00EB4F57"/>
    <w:rsid w:val="00EB5CF4"/>
    <w:rsid w:val="00EB63B2"/>
    <w:rsid w:val="00EC0AFD"/>
    <w:rsid w:val="00EC1384"/>
    <w:rsid w:val="00EC4BC4"/>
    <w:rsid w:val="00ED2FB0"/>
    <w:rsid w:val="00ED681A"/>
    <w:rsid w:val="00ED6CAB"/>
    <w:rsid w:val="00EE33D5"/>
    <w:rsid w:val="00EE7A00"/>
    <w:rsid w:val="00EF125A"/>
    <w:rsid w:val="00EF5885"/>
    <w:rsid w:val="00EF768C"/>
    <w:rsid w:val="00F0003E"/>
    <w:rsid w:val="00F0742F"/>
    <w:rsid w:val="00F1004C"/>
    <w:rsid w:val="00F1212B"/>
    <w:rsid w:val="00F12B2A"/>
    <w:rsid w:val="00F140BC"/>
    <w:rsid w:val="00F14B16"/>
    <w:rsid w:val="00F15EF3"/>
    <w:rsid w:val="00F17169"/>
    <w:rsid w:val="00F20D84"/>
    <w:rsid w:val="00F21404"/>
    <w:rsid w:val="00F253ED"/>
    <w:rsid w:val="00F2629D"/>
    <w:rsid w:val="00F26872"/>
    <w:rsid w:val="00F3030F"/>
    <w:rsid w:val="00F31176"/>
    <w:rsid w:val="00F3275A"/>
    <w:rsid w:val="00F33209"/>
    <w:rsid w:val="00F33FF0"/>
    <w:rsid w:val="00F4068A"/>
    <w:rsid w:val="00F40AAA"/>
    <w:rsid w:val="00F419FF"/>
    <w:rsid w:val="00F42A99"/>
    <w:rsid w:val="00F472C3"/>
    <w:rsid w:val="00F4742B"/>
    <w:rsid w:val="00F50C07"/>
    <w:rsid w:val="00F5776B"/>
    <w:rsid w:val="00F57E23"/>
    <w:rsid w:val="00F61DE3"/>
    <w:rsid w:val="00F625C2"/>
    <w:rsid w:val="00F67C12"/>
    <w:rsid w:val="00F70CA0"/>
    <w:rsid w:val="00F74574"/>
    <w:rsid w:val="00F75D8C"/>
    <w:rsid w:val="00F75E0C"/>
    <w:rsid w:val="00F760D2"/>
    <w:rsid w:val="00F764D2"/>
    <w:rsid w:val="00F77B6F"/>
    <w:rsid w:val="00F77F2D"/>
    <w:rsid w:val="00F804C6"/>
    <w:rsid w:val="00F81838"/>
    <w:rsid w:val="00F845C1"/>
    <w:rsid w:val="00F85067"/>
    <w:rsid w:val="00F92978"/>
    <w:rsid w:val="00F94B6B"/>
    <w:rsid w:val="00F96898"/>
    <w:rsid w:val="00FA129C"/>
    <w:rsid w:val="00FA1E3D"/>
    <w:rsid w:val="00FA39C6"/>
    <w:rsid w:val="00FB402B"/>
    <w:rsid w:val="00FB5BC8"/>
    <w:rsid w:val="00FC2B9B"/>
    <w:rsid w:val="00FC2F8C"/>
    <w:rsid w:val="00FC2FCD"/>
    <w:rsid w:val="00FC3868"/>
    <w:rsid w:val="00FD08BA"/>
    <w:rsid w:val="00FD6BC9"/>
    <w:rsid w:val="00FD70C5"/>
    <w:rsid w:val="00FD70E5"/>
    <w:rsid w:val="00FD7DA2"/>
    <w:rsid w:val="00FE1080"/>
    <w:rsid w:val="00FE21C7"/>
    <w:rsid w:val="00FE489E"/>
    <w:rsid w:val="00FE4A26"/>
    <w:rsid w:val="00FE5D86"/>
    <w:rsid w:val="00FF4AC9"/>
    <w:rsid w:val="00FF515C"/>
    <w:rsid w:val="00FF7310"/>
    <w:rsid w:val="00FF7FFB"/>
    <w:rsid w:val="0273010D"/>
    <w:rsid w:val="130C6A27"/>
    <w:rsid w:val="16FD0446"/>
    <w:rsid w:val="277D341D"/>
    <w:rsid w:val="2B5764DE"/>
    <w:rsid w:val="30C00A92"/>
    <w:rsid w:val="5ADA39FB"/>
    <w:rsid w:val="67EB5A4A"/>
    <w:rsid w:val="780444F0"/>
    <w:rsid w:val="7AD71133"/>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iPriority="39" w:semiHidden="0" w:name="toc 2"/>
    <w:lsdException w:qFormat="1" w:uiPriority="39" w:semiHidden="0" w:name="toc 3"/>
    <w:lsdException w:qFormat="1" w:uiPriority="0" w:semiHidden="0" w:name="toc 4"/>
    <w:lsdException w:qFormat="1" w:uiPriority="0" w:semiHidden="0" w:name="toc 5"/>
    <w:lsdException w:qFormat="1" w:uiPriority="0" w:semiHidden="0" w:name="toc 6"/>
    <w:lsdException w:qFormat="1" w:uiPriority="0" w:semiHidden="0" w:name="toc 7"/>
    <w:lsdException w:qFormat="1" w:uiPriority="0" w:semiHidden="0" w:name="toc 8"/>
    <w:lsdException w:qFormat="1" w:uiPriority="0" w:semiHidden="0" w:name="toc 9"/>
    <w:lsdException w:uiPriority="0" w:name="Normal Indent"/>
    <w:lsdException w:uiPriority="0" w:name="footnote text"/>
    <w:lsdException w:qFormat="1" w:unhideWhenUsed="0" w:uiPriority="0" w:semiHidden="0" w:name="annotation text"/>
    <w:lsdException w:qFormat="1" w:unhideWhenUsed="0" w:uiPriority="99"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qFormat="1" w:unhideWhenUsed="0" w:uiPriority="0" w:semiHidden="0" w:name="annotation reference"/>
    <w:lsdException w:uiPriority="0" w:name="line number"/>
    <w:lsdException w:uiPriority="0" w:name="page number"/>
    <w:lsdException w:qFormat="1" w:uiPriority="0" w:name="endnote reference"/>
    <w:lsdException w:qFormat="1"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qFormat="1"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pacing w:line="360" w:lineRule="auto"/>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57"/>
    <w:autoRedefine/>
    <w:qFormat/>
    <w:uiPriority w:val="9"/>
    <w:pPr>
      <w:keepNext/>
      <w:keepLines/>
      <w:numPr>
        <w:ilvl w:val="0"/>
        <w:numId w:val="1"/>
      </w:numPr>
      <w:spacing w:beforeLines="50" w:afterLines="50" w:line="240" w:lineRule="auto"/>
      <w:jc w:val="left"/>
      <w:outlineLvl w:val="0"/>
    </w:pPr>
    <w:rPr>
      <w:rFonts w:ascii="仿宋" w:hAnsi="仿宋" w:eastAsia="仿宋"/>
      <w:b/>
      <w:bCs/>
      <w:kern w:val="44"/>
      <w:sz w:val="32"/>
      <w:szCs w:val="32"/>
    </w:rPr>
  </w:style>
  <w:style w:type="paragraph" w:styleId="3">
    <w:name w:val="heading 2"/>
    <w:basedOn w:val="1"/>
    <w:next w:val="1"/>
    <w:link w:val="58"/>
    <w:autoRedefine/>
    <w:unhideWhenUsed/>
    <w:qFormat/>
    <w:uiPriority w:val="0"/>
    <w:pPr>
      <w:keepNext/>
      <w:keepLines/>
      <w:numPr>
        <w:ilvl w:val="1"/>
        <w:numId w:val="1"/>
      </w:numPr>
      <w:spacing w:before="120" w:after="120" w:line="240" w:lineRule="auto"/>
      <w:outlineLvl w:val="1"/>
    </w:pPr>
    <w:rPr>
      <w:rFonts w:eastAsia="仿宋" w:cstheme="majorBidi"/>
      <w:b/>
      <w:bCs/>
      <w:sz w:val="30"/>
      <w:szCs w:val="32"/>
    </w:rPr>
  </w:style>
  <w:style w:type="paragraph" w:styleId="4">
    <w:name w:val="heading 3"/>
    <w:basedOn w:val="1"/>
    <w:next w:val="1"/>
    <w:link w:val="59"/>
    <w:autoRedefine/>
    <w:unhideWhenUsed/>
    <w:qFormat/>
    <w:uiPriority w:val="0"/>
    <w:pPr>
      <w:keepNext/>
      <w:keepLines/>
      <w:spacing w:before="120" w:after="120" w:line="240" w:lineRule="auto"/>
      <w:ind w:left="720" w:hanging="720"/>
      <w:outlineLvl w:val="2"/>
    </w:pPr>
    <w:rPr>
      <w:rFonts w:eastAsia="仿宋"/>
      <w:b/>
      <w:bCs/>
      <w:sz w:val="28"/>
      <w:szCs w:val="32"/>
    </w:rPr>
  </w:style>
  <w:style w:type="paragraph" w:styleId="5">
    <w:name w:val="heading 4"/>
    <w:basedOn w:val="1"/>
    <w:next w:val="1"/>
    <w:link w:val="60"/>
    <w:autoRedefine/>
    <w:semiHidden/>
    <w:unhideWhenUsed/>
    <w:qFormat/>
    <w:uiPriority w:val="0"/>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61"/>
    <w:autoRedefine/>
    <w:semiHidden/>
    <w:unhideWhenUsed/>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62"/>
    <w:autoRedefine/>
    <w:semiHidden/>
    <w:unhideWhenUsed/>
    <w:qFormat/>
    <w:uiPriority w:val="0"/>
    <w:pPr>
      <w:keepNext/>
      <w:keepLines/>
      <w:numPr>
        <w:ilvl w:val="5"/>
        <w:numId w:val="1"/>
      </w:numPr>
      <w:spacing w:before="240" w:after="64" w:line="320" w:lineRule="auto"/>
      <w:outlineLvl w:val="5"/>
    </w:pPr>
    <w:rPr>
      <w:rFonts w:asciiTheme="majorHAnsi" w:hAnsiTheme="majorHAnsi" w:eastAsiaTheme="majorEastAsia" w:cstheme="majorBidi"/>
      <w:b/>
      <w:bCs/>
      <w:sz w:val="24"/>
    </w:rPr>
  </w:style>
  <w:style w:type="paragraph" w:styleId="8">
    <w:name w:val="heading 7"/>
    <w:basedOn w:val="1"/>
    <w:next w:val="1"/>
    <w:link w:val="63"/>
    <w:autoRedefine/>
    <w:semiHidden/>
    <w:unhideWhenUsed/>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link w:val="64"/>
    <w:autoRedefine/>
    <w:semiHidden/>
    <w:unhideWhenUsed/>
    <w:qFormat/>
    <w:uiPriority w:val="0"/>
    <w:pPr>
      <w:keepNext/>
      <w:keepLines/>
      <w:numPr>
        <w:ilvl w:val="7"/>
        <w:numId w:val="1"/>
      </w:numPr>
      <w:spacing w:before="240" w:after="64" w:line="320" w:lineRule="auto"/>
      <w:outlineLvl w:val="7"/>
    </w:pPr>
    <w:rPr>
      <w:rFonts w:asciiTheme="majorHAnsi" w:hAnsiTheme="majorHAnsi" w:eastAsiaTheme="majorEastAsia" w:cstheme="majorBidi"/>
      <w:sz w:val="24"/>
    </w:rPr>
  </w:style>
  <w:style w:type="paragraph" w:styleId="10">
    <w:name w:val="heading 9"/>
    <w:basedOn w:val="1"/>
    <w:next w:val="1"/>
    <w:link w:val="65"/>
    <w:autoRedefine/>
    <w:semiHidden/>
    <w:unhideWhenUsed/>
    <w:qFormat/>
    <w:uiPriority w:val="0"/>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28">
    <w:name w:val="Default Paragraph Font"/>
    <w:autoRedefine/>
    <w:semiHidden/>
    <w:unhideWhenUsed/>
    <w:qFormat/>
    <w:uiPriority w:val="1"/>
  </w:style>
  <w:style w:type="table" w:default="1" w:styleId="26">
    <w:name w:val="Normal Table"/>
    <w:autoRedefine/>
    <w:semiHidden/>
    <w:unhideWhenUsed/>
    <w:qFormat/>
    <w:uiPriority w:val="99"/>
    <w:tblPr>
      <w:tblCellMar>
        <w:top w:w="0" w:type="dxa"/>
        <w:left w:w="108" w:type="dxa"/>
        <w:bottom w:w="0" w:type="dxa"/>
        <w:right w:w="108" w:type="dxa"/>
      </w:tblCellMar>
    </w:tblPr>
  </w:style>
  <w:style w:type="paragraph" w:styleId="11">
    <w:name w:val="toc 7"/>
    <w:basedOn w:val="1"/>
    <w:next w:val="1"/>
    <w:autoRedefine/>
    <w:unhideWhenUsed/>
    <w:qFormat/>
    <w:uiPriority w:val="0"/>
    <w:pPr>
      <w:ind w:left="1260"/>
      <w:jc w:val="left"/>
    </w:pPr>
    <w:rPr>
      <w:rFonts w:asciiTheme="minorHAnsi" w:hAnsiTheme="minorHAnsi" w:cstheme="minorHAnsi"/>
      <w:sz w:val="18"/>
      <w:szCs w:val="18"/>
    </w:rPr>
  </w:style>
  <w:style w:type="paragraph" w:styleId="12">
    <w:name w:val="annotation text"/>
    <w:basedOn w:val="1"/>
    <w:link w:val="54"/>
    <w:autoRedefine/>
    <w:qFormat/>
    <w:uiPriority w:val="0"/>
    <w:pPr>
      <w:jc w:val="left"/>
    </w:pPr>
  </w:style>
  <w:style w:type="paragraph" w:styleId="13">
    <w:name w:val="toc 5"/>
    <w:basedOn w:val="1"/>
    <w:next w:val="1"/>
    <w:autoRedefine/>
    <w:unhideWhenUsed/>
    <w:qFormat/>
    <w:uiPriority w:val="0"/>
    <w:pPr>
      <w:ind w:left="840"/>
      <w:jc w:val="left"/>
    </w:pPr>
    <w:rPr>
      <w:rFonts w:asciiTheme="minorHAnsi" w:hAnsiTheme="minorHAnsi" w:cstheme="minorHAnsi"/>
      <w:sz w:val="18"/>
      <w:szCs w:val="18"/>
    </w:rPr>
  </w:style>
  <w:style w:type="paragraph" w:styleId="14">
    <w:name w:val="toc 3"/>
    <w:basedOn w:val="1"/>
    <w:next w:val="1"/>
    <w:autoRedefine/>
    <w:unhideWhenUsed/>
    <w:qFormat/>
    <w:uiPriority w:val="39"/>
    <w:pPr>
      <w:ind w:left="420"/>
      <w:jc w:val="left"/>
    </w:pPr>
    <w:rPr>
      <w:rFonts w:asciiTheme="minorHAnsi" w:hAnsiTheme="minorHAnsi" w:cstheme="minorHAnsi"/>
      <w:i/>
      <w:iCs/>
      <w:sz w:val="20"/>
      <w:szCs w:val="20"/>
    </w:rPr>
  </w:style>
  <w:style w:type="paragraph" w:styleId="15">
    <w:name w:val="toc 8"/>
    <w:basedOn w:val="1"/>
    <w:next w:val="1"/>
    <w:autoRedefine/>
    <w:unhideWhenUsed/>
    <w:qFormat/>
    <w:uiPriority w:val="0"/>
    <w:pPr>
      <w:ind w:left="1470"/>
      <w:jc w:val="left"/>
    </w:pPr>
    <w:rPr>
      <w:rFonts w:asciiTheme="minorHAnsi" w:hAnsiTheme="minorHAnsi" w:cstheme="minorHAnsi"/>
      <w:sz w:val="18"/>
      <w:szCs w:val="18"/>
    </w:rPr>
  </w:style>
  <w:style w:type="paragraph" w:styleId="16">
    <w:name w:val="endnote text"/>
    <w:basedOn w:val="1"/>
    <w:link w:val="56"/>
    <w:autoRedefine/>
    <w:semiHidden/>
    <w:unhideWhenUsed/>
    <w:qFormat/>
    <w:uiPriority w:val="0"/>
    <w:pPr>
      <w:snapToGrid w:val="0"/>
      <w:jc w:val="left"/>
    </w:pPr>
  </w:style>
  <w:style w:type="paragraph" w:styleId="17">
    <w:name w:val="Balloon Text"/>
    <w:basedOn w:val="1"/>
    <w:link w:val="53"/>
    <w:autoRedefine/>
    <w:qFormat/>
    <w:uiPriority w:val="0"/>
    <w:rPr>
      <w:sz w:val="18"/>
      <w:szCs w:val="18"/>
    </w:rPr>
  </w:style>
  <w:style w:type="paragraph" w:styleId="18">
    <w:name w:val="footer"/>
    <w:basedOn w:val="1"/>
    <w:link w:val="52"/>
    <w:autoRedefine/>
    <w:qFormat/>
    <w:uiPriority w:val="99"/>
    <w:pPr>
      <w:tabs>
        <w:tab w:val="center" w:pos="4153"/>
        <w:tab w:val="right" w:pos="8306"/>
      </w:tabs>
      <w:snapToGrid w:val="0"/>
      <w:jc w:val="left"/>
    </w:pPr>
    <w:rPr>
      <w:sz w:val="18"/>
      <w:szCs w:val="18"/>
    </w:rPr>
  </w:style>
  <w:style w:type="paragraph" w:styleId="19">
    <w:name w:val="header"/>
    <w:basedOn w:val="1"/>
    <w:link w:val="51"/>
    <w:autoRedefine/>
    <w:qFormat/>
    <w:uiPriority w:val="99"/>
    <w:pPr>
      <w:pBdr>
        <w:bottom w:val="single" w:color="auto" w:sz="6" w:space="1"/>
      </w:pBdr>
      <w:tabs>
        <w:tab w:val="center" w:pos="4153"/>
        <w:tab w:val="right" w:pos="8306"/>
      </w:tabs>
      <w:snapToGrid w:val="0"/>
      <w:jc w:val="center"/>
    </w:pPr>
    <w:rPr>
      <w:sz w:val="18"/>
      <w:szCs w:val="18"/>
    </w:rPr>
  </w:style>
  <w:style w:type="paragraph" w:styleId="20">
    <w:name w:val="toc 1"/>
    <w:autoRedefine/>
    <w:qFormat/>
    <w:uiPriority w:val="39"/>
    <w:pPr>
      <w:widowControl w:val="0"/>
      <w:tabs>
        <w:tab w:val="left" w:pos="420"/>
        <w:tab w:val="right" w:leader="dot" w:pos="8296"/>
      </w:tabs>
      <w:spacing w:line="360" w:lineRule="auto"/>
    </w:pPr>
    <w:rPr>
      <w:rFonts w:eastAsia="宋体" w:asciiTheme="minorHAnsi" w:hAnsiTheme="minorHAnsi" w:cstheme="minorHAnsi"/>
      <w:b/>
      <w:bCs/>
      <w:caps/>
      <w:kern w:val="2"/>
      <w:lang w:val="en-US" w:eastAsia="zh-CN" w:bidi="ar-SA"/>
    </w:rPr>
  </w:style>
  <w:style w:type="paragraph" w:styleId="21">
    <w:name w:val="toc 4"/>
    <w:basedOn w:val="1"/>
    <w:next w:val="1"/>
    <w:autoRedefine/>
    <w:unhideWhenUsed/>
    <w:qFormat/>
    <w:uiPriority w:val="0"/>
    <w:pPr>
      <w:ind w:left="630"/>
      <w:jc w:val="left"/>
    </w:pPr>
    <w:rPr>
      <w:rFonts w:asciiTheme="minorHAnsi" w:hAnsiTheme="minorHAnsi" w:cstheme="minorHAnsi"/>
      <w:sz w:val="18"/>
      <w:szCs w:val="18"/>
    </w:rPr>
  </w:style>
  <w:style w:type="paragraph" w:styleId="22">
    <w:name w:val="toc 6"/>
    <w:basedOn w:val="1"/>
    <w:next w:val="1"/>
    <w:autoRedefine/>
    <w:unhideWhenUsed/>
    <w:qFormat/>
    <w:uiPriority w:val="0"/>
    <w:pPr>
      <w:ind w:left="1050"/>
      <w:jc w:val="left"/>
    </w:pPr>
    <w:rPr>
      <w:rFonts w:asciiTheme="minorHAnsi" w:hAnsiTheme="minorHAnsi" w:cstheme="minorHAnsi"/>
      <w:sz w:val="18"/>
      <w:szCs w:val="18"/>
    </w:rPr>
  </w:style>
  <w:style w:type="paragraph" w:styleId="23">
    <w:name w:val="toc 2"/>
    <w:basedOn w:val="1"/>
    <w:next w:val="1"/>
    <w:autoRedefine/>
    <w:unhideWhenUsed/>
    <w:qFormat/>
    <w:uiPriority w:val="39"/>
    <w:pPr>
      <w:ind w:left="210"/>
      <w:jc w:val="left"/>
    </w:pPr>
    <w:rPr>
      <w:rFonts w:asciiTheme="minorHAnsi" w:hAnsiTheme="minorHAnsi" w:cstheme="minorHAnsi"/>
      <w:smallCaps/>
      <w:sz w:val="20"/>
      <w:szCs w:val="20"/>
    </w:rPr>
  </w:style>
  <w:style w:type="paragraph" w:styleId="24">
    <w:name w:val="toc 9"/>
    <w:basedOn w:val="1"/>
    <w:next w:val="1"/>
    <w:autoRedefine/>
    <w:unhideWhenUsed/>
    <w:qFormat/>
    <w:uiPriority w:val="0"/>
    <w:pPr>
      <w:ind w:left="1680"/>
      <w:jc w:val="left"/>
    </w:pPr>
    <w:rPr>
      <w:rFonts w:asciiTheme="minorHAnsi" w:hAnsiTheme="minorHAnsi" w:cstheme="minorHAnsi"/>
      <w:sz w:val="18"/>
      <w:szCs w:val="18"/>
    </w:rPr>
  </w:style>
  <w:style w:type="paragraph" w:styleId="25">
    <w:name w:val="annotation subject"/>
    <w:basedOn w:val="12"/>
    <w:next w:val="12"/>
    <w:link w:val="55"/>
    <w:autoRedefine/>
    <w:qFormat/>
    <w:uiPriority w:val="0"/>
    <w:rPr>
      <w:b/>
      <w:bCs/>
    </w:rPr>
  </w:style>
  <w:style w:type="table" w:styleId="27">
    <w:name w:val="Table Grid"/>
    <w:basedOn w:val="26"/>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9">
    <w:name w:val="endnote reference"/>
    <w:autoRedefine/>
    <w:semiHidden/>
    <w:unhideWhenUsed/>
    <w:qFormat/>
    <w:uiPriority w:val="0"/>
    <w:rPr>
      <w:vertAlign w:val="superscript"/>
    </w:rPr>
  </w:style>
  <w:style w:type="character" w:styleId="30">
    <w:name w:val="FollowedHyperlink"/>
    <w:autoRedefine/>
    <w:semiHidden/>
    <w:unhideWhenUsed/>
    <w:qFormat/>
    <w:uiPriority w:val="0"/>
    <w:rPr>
      <w:color w:val="800080"/>
      <w:u w:val="single"/>
    </w:rPr>
  </w:style>
  <w:style w:type="character" w:styleId="31">
    <w:name w:val="Hyperlink"/>
    <w:autoRedefine/>
    <w:qFormat/>
    <w:uiPriority w:val="99"/>
    <w:rPr>
      <w:color w:val="0000FF"/>
      <w:u w:val="single"/>
    </w:rPr>
  </w:style>
  <w:style w:type="character" w:styleId="32">
    <w:name w:val="annotation reference"/>
    <w:autoRedefine/>
    <w:qFormat/>
    <w:uiPriority w:val="0"/>
    <w:rPr>
      <w:sz w:val="21"/>
      <w:szCs w:val="21"/>
    </w:rPr>
  </w:style>
  <w:style w:type="paragraph" w:customStyle="1" w:styleId="33">
    <w:name w:val="前言、引言标题"/>
    <w:next w:val="1"/>
    <w:autoRedefine/>
    <w:qFormat/>
    <w:uiPriority w:val="0"/>
    <w:pPr>
      <w:numPr>
        <w:ilvl w:val="0"/>
        <w:numId w:val="2"/>
      </w:numPr>
      <w:shd w:val="clear" w:color="FFFFFF" w:fill="FFFFFF"/>
      <w:spacing w:before="640" w:after="560" w:line="360" w:lineRule="auto"/>
      <w:jc w:val="center"/>
      <w:outlineLvl w:val="0"/>
    </w:pPr>
    <w:rPr>
      <w:rFonts w:ascii="黑体" w:hAnsi="Times New Roman" w:eastAsia="黑体" w:cs="Times New Roman"/>
      <w:sz w:val="32"/>
      <w:lang w:val="en-US" w:eastAsia="zh-CN" w:bidi="ar-SA"/>
    </w:rPr>
  </w:style>
  <w:style w:type="paragraph" w:customStyle="1" w:styleId="34">
    <w:name w:val="章标题"/>
    <w:next w:val="35"/>
    <w:autoRedefine/>
    <w:qFormat/>
    <w:uiPriority w:val="0"/>
    <w:pPr>
      <w:spacing w:beforeLines="50" w:afterLines="50" w:line="360" w:lineRule="auto"/>
      <w:jc w:val="both"/>
      <w:outlineLvl w:val="1"/>
    </w:pPr>
    <w:rPr>
      <w:rFonts w:ascii="黑体" w:hAnsi="Times New Roman" w:eastAsia="黑体" w:cs="Times New Roman"/>
      <w:sz w:val="21"/>
      <w:lang w:val="en-US" w:eastAsia="zh-CN" w:bidi="ar-SA"/>
    </w:rPr>
  </w:style>
  <w:style w:type="paragraph" w:customStyle="1" w:styleId="35">
    <w:name w:val="段"/>
    <w:autoRedefine/>
    <w:qFormat/>
    <w:uiPriority w:val="0"/>
    <w:pPr>
      <w:autoSpaceDE w:val="0"/>
      <w:autoSpaceDN w:val="0"/>
      <w:spacing w:line="360" w:lineRule="auto"/>
      <w:ind w:firstLine="200" w:firstLineChars="200"/>
      <w:jc w:val="both"/>
    </w:pPr>
    <w:rPr>
      <w:rFonts w:ascii="宋体" w:hAnsi="Times New Roman" w:eastAsia="宋体" w:cs="Times New Roman"/>
      <w:sz w:val="21"/>
      <w:lang w:val="en-US" w:eastAsia="zh-CN" w:bidi="ar-SA"/>
    </w:rPr>
  </w:style>
  <w:style w:type="paragraph" w:customStyle="1" w:styleId="36">
    <w:name w:val="一级条标题"/>
    <w:next w:val="35"/>
    <w:autoRedefine/>
    <w:qFormat/>
    <w:uiPriority w:val="0"/>
    <w:pPr>
      <w:spacing w:line="360" w:lineRule="auto"/>
      <w:jc w:val="both"/>
      <w:outlineLvl w:val="2"/>
    </w:pPr>
    <w:rPr>
      <w:rFonts w:ascii="Times New Roman" w:hAnsi="Times New Roman" w:eastAsia="黑体" w:cs="Times New Roman"/>
      <w:sz w:val="21"/>
      <w:lang w:val="en-US" w:eastAsia="zh-CN" w:bidi="ar-SA"/>
    </w:rPr>
  </w:style>
  <w:style w:type="paragraph" w:customStyle="1" w:styleId="37">
    <w:name w:val="二级条标题"/>
    <w:basedOn w:val="36"/>
    <w:next w:val="35"/>
    <w:autoRedefine/>
    <w:qFormat/>
    <w:uiPriority w:val="0"/>
    <w:pPr>
      <w:outlineLvl w:val="3"/>
    </w:pPr>
  </w:style>
  <w:style w:type="paragraph" w:customStyle="1" w:styleId="38">
    <w:name w:val="三级条标题"/>
    <w:basedOn w:val="37"/>
    <w:next w:val="35"/>
    <w:autoRedefine/>
    <w:qFormat/>
    <w:uiPriority w:val="0"/>
    <w:pPr>
      <w:outlineLvl w:val="4"/>
    </w:pPr>
  </w:style>
  <w:style w:type="paragraph" w:customStyle="1" w:styleId="39">
    <w:name w:val="四级条标题"/>
    <w:basedOn w:val="38"/>
    <w:next w:val="35"/>
    <w:autoRedefine/>
    <w:qFormat/>
    <w:uiPriority w:val="0"/>
    <w:pPr>
      <w:outlineLvl w:val="5"/>
    </w:pPr>
  </w:style>
  <w:style w:type="paragraph" w:customStyle="1" w:styleId="40">
    <w:name w:val="五级条标题"/>
    <w:basedOn w:val="39"/>
    <w:next w:val="35"/>
    <w:autoRedefine/>
    <w:qFormat/>
    <w:uiPriority w:val="0"/>
    <w:pPr>
      <w:outlineLvl w:val="6"/>
    </w:pPr>
  </w:style>
  <w:style w:type="paragraph" w:customStyle="1" w:styleId="41">
    <w:name w:val="示例"/>
    <w:next w:val="35"/>
    <w:autoRedefine/>
    <w:qFormat/>
    <w:uiPriority w:val="0"/>
    <w:pPr>
      <w:numPr>
        <w:ilvl w:val="0"/>
        <w:numId w:val="3"/>
      </w:numPr>
      <w:tabs>
        <w:tab w:val="left" w:pos="816"/>
        <w:tab w:val="clear" w:pos="1120"/>
      </w:tabs>
      <w:spacing w:line="360" w:lineRule="auto"/>
      <w:ind w:firstLine="419" w:firstLineChars="233"/>
      <w:jc w:val="both"/>
    </w:pPr>
    <w:rPr>
      <w:rFonts w:ascii="宋体" w:hAnsi="Times New Roman" w:eastAsia="宋体" w:cs="Times New Roman"/>
      <w:sz w:val="18"/>
      <w:lang w:val="en-US" w:eastAsia="zh-CN" w:bidi="ar-SA"/>
    </w:rPr>
  </w:style>
  <w:style w:type="paragraph" w:customStyle="1" w:styleId="42">
    <w:name w:val="列项——（一级）"/>
    <w:autoRedefine/>
    <w:qFormat/>
    <w:uiPriority w:val="0"/>
    <w:pPr>
      <w:widowControl w:val="0"/>
      <w:numPr>
        <w:ilvl w:val="0"/>
        <w:numId w:val="4"/>
      </w:numPr>
      <w:tabs>
        <w:tab w:val="left" w:pos="854"/>
        <w:tab w:val="clear" w:pos="1140"/>
      </w:tabs>
      <w:spacing w:line="360" w:lineRule="auto"/>
      <w:ind w:left="200" w:leftChars="200" w:hanging="200" w:hangingChars="200"/>
      <w:jc w:val="both"/>
    </w:pPr>
    <w:rPr>
      <w:rFonts w:ascii="宋体" w:hAnsi="Times New Roman" w:eastAsia="宋体" w:cs="Times New Roman"/>
      <w:sz w:val="21"/>
      <w:lang w:val="en-US" w:eastAsia="zh-CN" w:bidi="ar-SA"/>
    </w:rPr>
  </w:style>
  <w:style w:type="paragraph" w:customStyle="1" w:styleId="43">
    <w:name w:val="附录标识"/>
    <w:basedOn w:val="33"/>
    <w:autoRedefine/>
    <w:qFormat/>
    <w:uiPriority w:val="0"/>
    <w:pPr>
      <w:numPr>
        <w:numId w:val="0"/>
      </w:numPr>
      <w:tabs>
        <w:tab w:val="left" w:pos="6405"/>
      </w:tabs>
      <w:spacing w:after="200"/>
      <w:ind w:left="4320"/>
    </w:pPr>
    <w:rPr>
      <w:sz w:val="21"/>
    </w:rPr>
  </w:style>
  <w:style w:type="paragraph" w:customStyle="1" w:styleId="44">
    <w:name w:val="附录章标题"/>
    <w:next w:val="35"/>
    <w:autoRedefine/>
    <w:qFormat/>
    <w:uiPriority w:val="0"/>
    <w:pPr>
      <w:wordWrap w:val="0"/>
      <w:overflowPunct w:val="0"/>
      <w:autoSpaceDE w:val="0"/>
      <w:spacing w:beforeLines="50" w:afterLines="50" w:line="360" w:lineRule="auto"/>
      <w:ind w:left="4320"/>
      <w:jc w:val="both"/>
      <w:textAlignment w:val="baseline"/>
      <w:outlineLvl w:val="1"/>
    </w:pPr>
    <w:rPr>
      <w:rFonts w:ascii="黑体" w:hAnsi="Times New Roman" w:eastAsia="黑体" w:cs="Times New Roman"/>
      <w:kern w:val="21"/>
      <w:sz w:val="21"/>
      <w:lang w:val="en-US" w:eastAsia="zh-CN" w:bidi="ar-SA"/>
    </w:rPr>
  </w:style>
  <w:style w:type="paragraph" w:customStyle="1" w:styleId="45">
    <w:name w:val="附录一级条标题"/>
    <w:basedOn w:val="44"/>
    <w:next w:val="35"/>
    <w:autoRedefine/>
    <w:qFormat/>
    <w:uiPriority w:val="0"/>
    <w:pPr>
      <w:autoSpaceDN w:val="0"/>
      <w:spacing w:beforeLines="0" w:afterLines="0"/>
      <w:ind w:left="4320"/>
      <w:outlineLvl w:val="2"/>
    </w:pPr>
  </w:style>
  <w:style w:type="paragraph" w:customStyle="1" w:styleId="46">
    <w:name w:val="附录二级条标题"/>
    <w:basedOn w:val="45"/>
    <w:next w:val="35"/>
    <w:autoRedefine/>
    <w:qFormat/>
    <w:uiPriority w:val="0"/>
    <w:pPr>
      <w:ind w:left="4320"/>
      <w:outlineLvl w:val="3"/>
    </w:pPr>
  </w:style>
  <w:style w:type="paragraph" w:customStyle="1" w:styleId="47">
    <w:name w:val="附录三级条标题"/>
    <w:basedOn w:val="46"/>
    <w:next w:val="35"/>
    <w:autoRedefine/>
    <w:qFormat/>
    <w:uiPriority w:val="0"/>
    <w:pPr>
      <w:ind w:left="4320"/>
      <w:outlineLvl w:val="4"/>
    </w:pPr>
  </w:style>
  <w:style w:type="paragraph" w:customStyle="1" w:styleId="48">
    <w:name w:val="附录四级条标题"/>
    <w:basedOn w:val="47"/>
    <w:next w:val="35"/>
    <w:autoRedefine/>
    <w:qFormat/>
    <w:uiPriority w:val="0"/>
    <w:pPr>
      <w:ind w:left="4320"/>
      <w:outlineLvl w:val="5"/>
    </w:pPr>
  </w:style>
  <w:style w:type="paragraph" w:customStyle="1" w:styleId="49">
    <w:name w:val="附录五级条标题"/>
    <w:basedOn w:val="48"/>
    <w:next w:val="35"/>
    <w:autoRedefine/>
    <w:qFormat/>
    <w:uiPriority w:val="0"/>
    <w:pPr>
      <w:ind w:left="4320"/>
      <w:outlineLvl w:val="6"/>
    </w:pPr>
  </w:style>
  <w:style w:type="paragraph" w:customStyle="1" w:styleId="50">
    <w:name w:val="列项——"/>
    <w:autoRedefine/>
    <w:qFormat/>
    <w:uiPriority w:val="0"/>
    <w:pPr>
      <w:widowControl w:val="0"/>
      <w:tabs>
        <w:tab w:val="left" w:pos="854"/>
      </w:tabs>
      <w:spacing w:line="360" w:lineRule="auto"/>
      <w:ind w:left="200" w:leftChars="200" w:hanging="200" w:hangingChars="200"/>
      <w:jc w:val="both"/>
    </w:pPr>
    <w:rPr>
      <w:rFonts w:ascii="宋体" w:hAnsi="Times New Roman" w:eastAsia="宋体" w:cs="Times New Roman"/>
      <w:sz w:val="21"/>
      <w:lang w:val="en-US" w:eastAsia="zh-CN" w:bidi="ar-SA"/>
    </w:rPr>
  </w:style>
  <w:style w:type="character" w:customStyle="1" w:styleId="51">
    <w:name w:val="页眉 Char"/>
    <w:link w:val="19"/>
    <w:autoRedefine/>
    <w:qFormat/>
    <w:uiPriority w:val="99"/>
    <w:rPr>
      <w:kern w:val="2"/>
      <w:sz w:val="18"/>
      <w:szCs w:val="18"/>
    </w:rPr>
  </w:style>
  <w:style w:type="character" w:customStyle="1" w:styleId="52">
    <w:name w:val="页脚 Char"/>
    <w:link w:val="18"/>
    <w:autoRedefine/>
    <w:qFormat/>
    <w:uiPriority w:val="99"/>
    <w:rPr>
      <w:kern w:val="2"/>
      <w:sz w:val="18"/>
      <w:szCs w:val="18"/>
    </w:rPr>
  </w:style>
  <w:style w:type="character" w:customStyle="1" w:styleId="53">
    <w:name w:val="批注框文本 Char"/>
    <w:link w:val="17"/>
    <w:autoRedefine/>
    <w:qFormat/>
    <w:uiPriority w:val="0"/>
    <w:rPr>
      <w:kern w:val="2"/>
      <w:sz w:val="18"/>
      <w:szCs w:val="18"/>
    </w:rPr>
  </w:style>
  <w:style w:type="character" w:customStyle="1" w:styleId="54">
    <w:name w:val="批注文字 Char"/>
    <w:link w:val="12"/>
    <w:autoRedefine/>
    <w:qFormat/>
    <w:uiPriority w:val="0"/>
    <w:rPr>
      <w:kern w:val="2"/>
      <w:sz w:val="21"/>
      <w:szCs w:val="24"/>
    </w:rPr>
  </w:style>
  <w:style w:type="character" w:customStyle="1" w:styleId="55">
    <w:name w:val="批注主题 Char"/>
    <w:link w:val="25"/>
    <w:autoRedefine/>
    <w:qFormat/>
    <w:uiPriority w:val="0"/>
    <w:rPr>
      <w:b/>
      <w:bCs/>
      <w:kern w:val="2"/>
      <w:sz w:val="21"/>
      <w:szCs w:val="24"/>
    </w:rPr>
  </w:style>
  <w:style w:type="character" w:customStyle="1" w:styleId="56">
    <w:name w:val="尾注文本 Char"/>
    <w:link w:val="16"/>
    <w:autoRedefine/>
    <w:semiHidden/>
    <w:qFormat/>
    <w:uiPriority w:val="0"/>
    <w:rPr>
      <w:kern w:val="2"/>
      <w:sz w:val="21"/>
      <w:szCs w:val="24"/>
    </w:rPr>
  </w:style>
  <w:style w:type="character" w:customStyle="1" w:styleId="57">
    <w:name w:val="标题 1 Char"/>
    <w:link w:val="2"/>
    <w:autoRedefine/>
    <w:qFormat/>
    <w:uiPriority w:val="9"/>
    <w:rPr>
      <w:rFonts w:ascii="仿宋" w:hAnsi="仿宋" w:eastAsia="仿宋"/>
      <w:b/>
      <w:bCs/>
      <w:kern w:val="44"/>
      <w:sz w:val="32"/>
      <w:szCs w:val="32"/>
    </w:rPr>
  </w:style>
  <w:style w:type="character" w:customStyle="1" w:styleId="58">
    <w:name w:val="标题 2 Char"/>
    <w:basedOn w:val="28"/>
    <w:link w:val="3"/>
    <w:autoRedefine/>
    <w:qFormat/>
    <w:uiPriority w:val="0"/>
    <w:rPr>
      <w:rFonts w:eastAsia="仿宋" w:cstheme="majorBidi"/>
      <w:b/>
      <w:bCs/>
      <w:kern w:val="2"/>
      <w:sz w:val="30"/>
      <w:szCs w:val="32"/>
    </w:rPr>
  </w:style>
  <w:style w:type="character" w:customStyle="1" w:styleId="59">
    <w:name w:val="标题 3 Char"/>
    <w:basedOn w:val="28"/>
    <w:link w:val="4"/>
    <w:autoRedefine/>
    <w:qFormat/>
    <w:uiPriority w:val="0"/>
    <w:rPr>
      <w:rFonts w:eastAsia="仿宋"/>
      <w:b/>
      <w:bCs/>
      <w:kern w:val="2"/>
      <w:sz w:val="28"/>
      <w:szCs w:val="32"/>
    </w:rPr>
  </w:style>
  <w:style w:type="character" w:customStyle="1" w:styleId="60">
    <w:name w:val="标题 4 Char"/>
    <w:basedOn w:val="28"/>
    <w:link w:val="5"/>
    <w:autoRedefine/>
    <w:semiHidden/>
    <w:qFormat/>
    <w:uiPriority w:val="0"/>
    <w:rPr>
      <w:rFonts w:asciiTheme="majorHAnsi" w:hAnsiTheme="majorHAnsi" w:eastAsiaTheme="majorEastAsia" w:cstheme="majorBidi"/>
      <w:b/>
      <w:bCs/>
      <w:kern w:val="2"/>
      <w:sz w:val="28"/>
      <w:szCs w:val="28"/>
    </w:rPr>
  </w:style>
  <w:style w:type="character" w:customStyle="1" w:styleId="61">
    <w:name w:val="标题 5 Char"/>
    <w:basedOn w:val="28"/>
    <w:link w:val="6"/>
    <w:autoRedefine/>
    <w:semiHidden/>
    <w:qFormat/>
    <w:uiPriority w:val="0"/>
    <w:rPr>
      <w:b/>
      <w:bCs/>
      <w:kern w:val="2"/>
      <w:sz w:val="28"/>
      <w:szCs w:val="28"/>
    </w:rPr>
  </w:style>
  <w:style w:type="character" w:customStyle="1" w:styleId="62">
    <w:name w:val="标题 6 Char"/>
    <w:basedOn w:val="28"/>
    <w:link w:val="7"/>
    <w:autoRedefine/>
    <w:semiHidden/>
    <w:qFormat/>
    <w:uiPriority w:val="0"/>
    <w:rPr>
      <w:rFonts w:asciiTheme="majorHAnsi" w:hAnsiTheme="majorHAnsi" w:eastAsiaTheme="majorEastAsia" w:cstheme="majorBidi"/>
      <w:b/>
      <w:bCs/>
      <w:kern w:val="2"/>
      <w:sz w:val="24"/>
      <w:szCs w:val="24"/>
    </w:rPr>
  </w:style>
  <w:style w:type="character" w:customStyle="1" w:styleId="63">
    <w:name w:val="标题 7 Char"/>
    <w:basedOn w:val="28"/>
    <w:link w:val="8"/>
    <w:autoRedefine/>
    <w:semiHidden/>
    <w:qFormat/>
    <w:uiPriority w:val="0"/>
    <w:rPr>
      <w:b/>
      <w:bCs/>
      <w:kern w:val="2"/>
      <w:sz w:val="24"/>
      <w:szCs w:val="24"/>
    </w:rPr>
  </w:style>
  <w:style w:type="character" w:customStyle="1" w:styleId="64">
    <w:name w:val="标题 8 Char"/>
    <w:basedOn w:val="28"/>
    <w:link w:val="9"/>
    <w:autoRedefine/>
    <w:semiHidden/>
    <w:qFormat/>
    <w:uiPriority w:val="0"/>
    <w:rPr>
      <w:rFonts w:asciiTheme="majorHAnsi" w:hAnsiTheme="majorHAnsi" w:eastAsiaTheme="majorEastAsia" w:cstheme="majorBidi"/>
      <w:kern w:val="2"/>
      <w:sz w:val="24"/>
      <w:szCs w:val="24"/>
    </w:rPr>
  </w:style>
  <w:style w:type="character" w:customStyle="1" w:styleId="65">
    <w:name w:val="标题 9 Char"/>
    <w:basedOn w:val="28"/>
    <w:link w:val="10"/>
    <w:autoRedefine/>
    <w:semiHidden/>
    <w:qFormat/>
    <w:uiPriority w:val="0"/>
    <w:rPr>
      <w:rFonts w:asciiTheme="majorHAnsi" w:hAnsiTheme="majorHAnsi" w:eastAsiaTheme="majorEastAsia" w:cstheme="majorBidi"/>
      <w:kern w:val="2"/>
      <w:sz w:val="21"/>
      <w:szCs w:val="21"/>
    </w:rPr>
  </w:style>
  <w:style w:type="paragraph" w:styleId="66">
    <w:name w:val="List Paragraph"/>
    <w:basedOn w:val="1"/>
    <w:autoRedefine/>
    <w:qFormat/>
    <w:uiPriority w:val="34"/>
    <w:pPr>
      <w:ind w:firstLine="420" w:firstLineChars="200"/>
    </w:pPr>
  </w:style>
  <w:style w:type="paragraph" w:customStyle="1" w:styleId="67">
    <w:name w:val="TOC Heading"/>
    <w:basedOn w:val="2"/>
    <w:next w:val="1"/>
    <w:autoRedefine/>
    <w:semiHidden/>
    <w:unhideWhenUsed/>
    <w:qFormat/>
    <w:uiPriority w:val="39"/>
    <w:pPr>
      <w:widowControl/>
      <w:numPr>
        <w:numId w:val="0"/>
      </w:numPr>
      <w:spacing w:beforeLines="0" w:afterLines="0" w:line="276" w:lineRule="auto"/>
      <w:outlineLvl w:val="9"/>
    </w:pPr>
    <w:rPr>
      <w:rFonts w:asciiTheme="majorHAnsi" w:hAnsiTheme="majorHAnsi" w:eastAsiaTheme="majorEastAsia" w:cstheme="majorBidi"/>
      <w:color w:val="376092" w:themeColor="accent1" w:themeShade="BF"/>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numbering" Target="numbering.xml"/><Relationship Id="rId23" Type="http://schemas.openxmlformats.org/officeDocument/2006/relationships/image" Target="media/image6.png"/><Relationship Id="rId22" Type="http://schemas.openxmlformats.org/officeDocument/2006/relationships/image" Target="media/image5.jpeg"/><Relationship Id="rId21" Type="http://schemas.openxmlformats.org/officeDocument/2006/relationships/image" Target="media/image4.png"/><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2.png"/><Relationship Id="rId18" Type="http://schemas.openxmlformats.org/officeDocument/2006/relationships/image" Target="media/image1.png"/><Relationship Id="rId17" Type="http://schemas.openxmlformats.org/officeDocument/2006/relationships/theme" Target="theme/theme1.xml"/><Relationship Id="rId16" Type="http://schemas.openxmlformats.org/officeDocument/2006/relationships/footer" Target="footer6.xml"/><Relationship Id="rId15" Type="http://schemas.openxmlformats.org/officeDocument/2006/relationships/footer" Target="footer5.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CF30F8-396E-4D61-B361-F5EEAB56C8B6}">
  <ds:schemaRefs/>
</ds:datastoreItem>
</file>

<file path=docProps/app.xml><?xml version="1.0" encoding="utf-8"?>
<Properties xmlns="http://schemas.openxmlformats.org/officeDocument/2006/extended-properties" xmlns:vt="http://schemas.openxmlformats.org/officeDocument/2006/docPropsVTypes">
  <Template>Normal</Template>
  <Pages>17</Pages>
  <Words>1204</Words>
  <Characters>6867</Characters>
  <Lines>57</Lines>
  <Paragraphs>16</Paragraphs>
  <TotalTime>50</TotalTime>
  <ScaleCrop>false</ScaleCrop>
  <LinksUpToDate>false</LinksUpToDate>
  <CharactersWithSpaces>8055</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2020-05-09T08:01:00Z</dcterms:created>
  <dc:creator>陈智峰</dc:creator>
  <cp:lastModifiedBy>祈逝</cp:lastModifiedBy>
  <cp:lastPrinted>2018-06-06T05:40:00Z</cp:lastPrinted>
  <dcterms:modified xsi:type="dcterms:W3CDTF">2024-05-11T07:21:59Z</dcterms:modified>
  <dc:title>浙江大学研究生学位论文编写规则</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7B25D528034B48C98BC0CB00FDF2E5BC_13</vt:lpwstr>
  </property>
</Properties>
</file>