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AB9B6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kern w:val="36"/>
          <w:sz w:val="24"/>
          <w:szCs w:val="24"/>
        </w:rPr>
        <w:t>Road Crash Hotspot Analysis — Birmingham, 2020–2024</w:t>
      </w:r>
    </w:p>
    <w:p w14:paraId="13333291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Findings &amp; Recommendations Report</w:t>
      </w:r>
    </w:p>
    <w:p w14:paraId="2E27A80A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0D00005B">
          <v:rect id="_x0000_i1025" style="width:0;height:1.5pt" o:hralign="center" o:hrstd="t" o:hr="t" fillcolor="#a0a0a0" stroked="f"/>
        </w:pict>
      </w:r>
    </w:p>
    <w:p w14:paraId="4266466C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Executive Summary</w:t>
      </w:r>
    </w:p>
    <w:p w14:paraId="68A87F50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 xml:space="preserve">This analysis examined 10,817 recorded road traffic collisions in Birmingham, England, between 2020 and 2024, using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DfT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 xml:space="preserve"> STATS19 road safety data. The objective was to identify statistically significant crash hotspots — locations where collision frequency is too high to be explained by chance — and to provide the city's road safety stakeholders with an evidence-based basis for prioritizing interventions.</w:t>
      </w:r>
    </w:p>
    <w:p w14:paraId="2329175A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 xml:space="preserve">Spatial statistical testing confirmed that crashes in Birmingham are not randomly distributed: they cluster strongly and significantly (Moran's I = 0.56, p = 0.001). Using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Getis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 xml:space="preserve">-Ord Gi* hotspot analysis on a 500m grid, 105 grid cells (5.5% of the study area) were identified as statistically significant hotspots, with 36 cells reaching the highest confidence tier (99%). These hotspots concentrate heavily around Birmingham's city centre and along a corridor extending south/southwest toward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Edgbaston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>, suggesting that a small number of locations account for a disproportionate share of the city's collision burden.</w:t>
      </w:r>
    </w:p>
    <w:p w14:paraId="7A7191C3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541A4DD7">
          <v:rect id="_x0000_i1026" style="width:0;height:1.5pt" o:hralign="center" o:hrstd="t" o:hr="t" fillcolor="#a0a0a0" stroked="f"/>
        </w:pict>
      </w:r>
    </w:p>
    <w:p w14:paraId="71F1DD46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1. Background &amp; Objective</w:t>
      </w:r>
    </w:p>
    <w:p w14:paraId="66C2B4F2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Problem statement:</w:t>
      </w:r>
      <w:r w:rsidRPr="005C5EC1">
        <w:rPr>
          <w:rFonts w:ascii="Arial" w:eastAsia="Times New Roman" w:hAnsi="Arial" w:cs="Arial"/>
          <w:sz w:val="24"/>
          <w:szCs w:val="24"/>
        </w:rPr>
        <w:t xml:space="preserve"> Birmingham's road safety team (or equivalent local authority stakeholder) needs to know </w:t>
      </w:r>
      <w:r w:rsidRPr="005C5EC1">
        <w:rPr>
          <w:rFonts w:ascii="Arial" w:eastAsia="Times New Roman" w:hAnsi="Arial" w:cs="Arial"/>
          <w:i/>
          <w:iCs/>
          <w:sz w:val="24"/>
          <w:szCs w:val="24"/>
        </w:rPr>
        <w:t>where</w:t>
      </w:r>
      <w:r w:rsidRPr="005C5EC1">
        <w:rPr>
          <w:rFonts w:ascii="Arial" w:eastAsia="Times New Roman" w:hAnsi="Arial" w:cs="Arial"/>
          <w:sz w:val="24"/>
          <w:szCs w:val="24"/>
        </w:rPr>
        <w:t xml:space="preserve"> to prioritize limited road safety intervention resources — safety audits, signage, lighting improvements, speed enforcement — rather than spreading efforts evenly across the city.</w:t>
      </w:r>
    </w:p>
    <w:p w14:paraId="56A4A51E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Study window:</w:t>
      </w:r>
      <w:r w:rsidRPr="005C5EC1">
        <w:rPr>
          <w:rFonts w:ascii="Arial" w:eastAsia="Times New Roman" w:hAnsi="Arial" w:cs="Arial"/>
          <w:sz w:val="24"/>
          <w:szCs w:val="24"/>
        </w:rPr>
        <w:t xml:space="preserve"> 2020–2024 (5-year window; 2025 excluded as only provisional STATS19 data is currently available, with final data due July 2026).</w:t>
      </w:r>
    </w:p>
    <w:p w14:paraId="055F5DBF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Study area:</w:t>
      </w:r>
      <w:r w:rsidRPr="005C5EC1">
        <w:rPr>
          <w:rFonts w:ascii="Arial" w:eastAsia="Times New Roman" w:hAnsi="Arial" w:cs="Arial"/>
          <w:sz w:val="24"/>
          <w:szCs w:val="24"/>
        </w:rPr>
        <w:t xml:space="preserve"> Birmingham Local Authority District (ONS code E08000025).</w:t>
      </w:r>
    </w:p>
    <w:p w14:paraId="369C26CE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10292672">
          <v:rect id="_x0000_i1027" style="width:0;height:1.5pt" o:hralign="center" o:hrstd="t" o:hr="t" fillcolor="#a0a0a0" stroked="f"/>
        </w:pict>
      </w:r>
    </w:p>
    <w:p w14:paraId="1F896C14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2. Data &amp; Methodology</w:t>
      </w:r>
    </w:p>
    <w:p w14:paraId="7603FA6D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Data source:</w:t>
      </w:r>
      <w:r w:rsidRPr="005C5EC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DfT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 xml:space="preserve"> STATS19 Road Safety Data — Collision-level records, filtered to Birmingham LAD, 2020–2024.</w:t>
      </w:r>
    </w:p>
    <w:p w14:paraId="11AB2C86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lastRenderedPageBreak/>
        <w:t>Tools used:</w:t>
      </w:r>
      <w:r w:rsidRPr="005C5EC1">
        <w:rPr>
          <w:rFonts w:ascii="Arial" w:eastAsia="Times New Roman" w:hAnsi="Arial" w:cs="Arial"/>
          <w:sz w:val="24"/>
          <w:szCs w:val="24"/>
        </w:rPr>
        <w:t xml:space="preserve"> Python (pandas,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geopandas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PySAL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esda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>) for data processing and spatial statistics; SQL (SQLite) for structured querying; QGIS for cartographic visualization; [Power BI — pending] for the interactive dashboard.</w:t>
      </w:r>
    </w:p>
    <w:p w14:paraId="6ED7CD25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Methodology steps:</w:t>
      </w:r>
    </w:p>
    <w:p w14:paraId="67E5F4AF" w14:textId="77777777" w:rsidR="005C5EC1" w:rsidRPr="005C5EC1" w:rsidRDefault="005C5EC1" w:rsidP="005C5E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>Filtered STATS19 collision data to Birmingham (ONS code E08000025), 2020–2024 → 10,817 records</w:t>
      </w:r>
    </w:p>
    <w:p w14:paraId="7BE8BB4E" w14:textId="77777777" w:rsidR="005C5EC1" w:rsidRPr="005C5EC1" w:rsidRDefault="005C5EC1" w:rsidP="005C5E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>Geocoded to point locations, reprojected to British National Grid (EPSG:27700) for accurate distance-based analysis</w:t>
      </w:r>
    </w:p>
    <w:p w14:paraId="2A66A875" w14:textId="77777777" w:rsidR="005C5EC1" w:rsidRPr="005C5EC1" w:rsidRDefault="005C5EC1" w:rsidP="005C5E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>Aggregated crash points into a 500m × 500m grid (1,911 cells total) — standard practice for point-pattern hotspot analysis, avoiding the instability of running statistics directly on raw point locations</w:t>
      </w:r>
    </w:p>
    <w:p w14:paraId="3F595391" w14:textId="77777777" w:rsidR="005C5EC1" w:rsidRPr="005C5EC1" w:rsidRDefault="005C5EC1" w:rsidP="005C5E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 xml:space="preserve">Tested for global spatial autocorrelation using </w:t>
      </w:r>
      <w:r w:rsidRPr="005C5EC1">
        <w:rPr>
          <w:rFonts w:ascii="Arial" w:eastAsia="Times New Roman" w:hAnsi="Arial" w:cs="Arial"/>
          <w:b/>
          <w:bCs/>
          <w:sz w:val="24"/>
          <w:szCs w:val="24"/>
        </w:rPr>
        <w:t>Moran's I</w:t>
      </w:r>
      <w:r w:rsidRPr="005C5EC1">
        <w:rPr>
          <w:rFonts w:ascii="Arial" w:eastAsia="Times New Roman" w:hAnsi="Arial" w:cs="Arial"/>
          <w:sz w:val="24"/>
          <w:szCs w:val="24"/>
        </w:rPr>
        <w:t>, to confirm clustering exists before proceeding</w:t>
      </w:r>
    </w:p>
    <w:p w14:paraId="60E7AAF4" w14:textId="77777777" w:rsidR="005C5EC1" w:rsidRPr="005C5EC1" w:rsidRDefault="005C5EC1" w:rsidP="005C5E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 xml:space="preserve">Ran </w:t>
      </w:r>
      <w:proofErr w:type="spellStart"/>
      <w:r w:rsidRPr="005C5EC1">
        <w:rPr>
          <w:rFonts w:ascii="Arial" w:eastAsia="Times New Roman" w:hAnsi="Arial" w:cs="Arial"/>
          <w:b/>
          <w:bCs/>
          <w:sz w:val="24"/>
          <w:szCs w:val="24"/>
        </w:rPr>
        <w:t>Getis</w:t>
      </w:r>
      <w:proofErr w:type="spellEnd"/>
      <w:r w:rsidRPr="005C5EC1">
        <w:rPr>
          <w:rFonts w:ascii="Arial" w:eastAsia="Times New Roman" w:hAnsi="Arial" w:cs="Arial"/>
          <w:b/>
          <w:bCs/>
          <w:sz w:val="24"/>
          <w:szCs w:val="24"/>
        </w:rPr>
        <w:t>-Ord Gi*</w:t>
      </w:r>
      <w:r w:rsidRPr="005C5EC1">
        <w:rPr>
          <w:rFonts w:ascii="Arial" w:eastAsia="Times New Roman" w:hAnsi="Arial" w:cs="Arial"/>
          <w:sz w:val="24"/>
          <w:szCs w:val="24"/>
        </w:rPr>
        <w:t xml:space="preserve"> local statistics to identify </w:t>
      </w:r>
      <w:r w:rsidRPr="005C5EC1">
        <w:rPr>
          <w:rFonts w:ascii="Arial" w:eastAsia="Times New Roman" w:hAnsi="Arial" w:cs="Arial"/>
          <w:i/>
          <w:iCs/>
          <w:sz w:val="24"/>
          <w:szCs w:val="24"/>
        </w:rPr>
        <w:t>which</w:t>
      </w:r>
      <w:r w:rsidRPr="005C5EC1">
        <w:rPr>
          <w:rFonts w:ascii="Arial" w:eastAsia="Times New Roman" w:hAnsi="Arial" w:cs="Arial"/>
          <w:sz w:val="24"/>
          <w:szCs w:val="24"/>
        </w:rPr>
        <w:t xml:space="preserve"> specific cells are statistically significant hot (or cold) spots, classified into 90%, 95%, and 99% confidence tiers</w:t>
      </w:r>
    </w:p>
    <w:p w14:paraId="32964535" w14:textId="77777777" w:rsidR="005C5EC1" w:rsidRPr="005C5EC1" w:rsidRDefault="005C5EC1" w:rsidP="005C5E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>Cross-referenced the highest-confidence hotspot cells against real-world locations (via coordinate lookup) to ground the statistical findings in actual geography</w:t>
      </w:r>
    </w:p>
    <w:p w14:paraId="49E9D1AD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15B4A820">
          <v:rect id="_x0000_i1028" style="width:0;height:1.5pt" o:hralign="center" o:hrstd="t" o:hr="t" fillcolor="#a0a0a0" stroked="f"/>
        </w:pict>
      </w:r>
    </w:p>
    <w:p w14:paraId="2A1DC85E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3. Key Findings</w:t>
      </w:r>
    </w:p>
    <w:p w14:paraId="539C94EA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3.1 Crashes are strongly and significantly clustered, not randomly distributed.</w:t>
      </w:r>
      <w:r w:rsidRPr="005C5EC1">
        <w:rPr>
          <w:rFonts w:ascii="Arial" w:eastAsia="Times New Roman" w:hAnsi="Arial" w:cs="Arial"/>
          <w:sz w:val="24"/>
          <w:szCs w:val="24"/>
        </w:rPr>
        <w:t xml:space="preserve"> Moran's I = 0.56 (p = 0.001, z = 49.6) — a result well beyond the threshold for statistical significance, confirming that hotspot analysis is a valid and meaningful approach for this dataset.</w:t>
      </w:r>
    </w:p>
    <w:p w14:paraId="3909BBE3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3.2 A concentrated core of high-confidence hotspots exists in and around Birmingham city centre.</w:t>
      </w:r>
      <w:r w:rsidRPr="005C5EC1">
        <w:rPr>
          <w:rFonts w:ascii="Arial" w:eastAsia="Times New Roman" w:hAnsi="Arial" w:cs="Arial"/>
          <w:sz w:val="24"/>
          <w:szCs w:val="24"/>
        </w:rPr>
        <w:t xml:space="preserve"> The two highest-intensity cells (z = 5.83 and z = 5.54, both significant at 99% confidence) sit near the city centre/Digbeth-Southside area, with 103 and 98 recorded crashes respectively within their 500m cells over the 5-year window — far above the study area's cell average of 5.7 crashes.</w:t>
      </w:r>
    </w:p>
    <w:p w14:paraId="4579B600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3.3 Hotspots extend along a corridor pattern, not just isolated points.</w:t>
      </w:r>
      <w:r w:rsidRPr="005C5EC1">
        <w:rPr>
          <w:rFonts w:ascii="Arial" w:eastAsia="Times New Roman" w:hAnsi="Arial" w:cs="Arial"/>
          <w:sz w:val="24"/>
          <w:szCs w:val="24"/>
        </w:rPr>
        <w:t xml:space="preserve"> Beyond the central core, a secondary cluster of 95–99% confidence cells </w:t>
      </w:r>
      <w:proofErr w:type="gramStart"/>
      <w:r w:rsidRPr="005C5EC1">
        <w:rPr>
          <w:rFonts w:ascii="Arial" w:eastAsia="Times New Roman" w:hAnsi="Arial" w:cs="Arial"/>
          <w:sz w:val="24"/>
          <w:szCs w:val="24"/>
        </w:rPr>
        <w:t>traces</w:t>
      </w:r>
      <w:proofErr w:type="gramEnd"/>
      <w:r w:rsidRPr="005C5EC1">
        <w:rPr>
          <w:rFonts w:ascii="Arial" w:eastAsia="Times New Roman" w:hAnsi="Arial" w:cs="Arial"/>
          <w:sz w:val="24"/>
          <w:szCs w:val="24"/>
        </w:rPr>
        <w:t xml:space="preserve"> a corridor toward 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Edgbaston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5C5EC1">
        <w:rPr>
          <w:rFonts w:ascii="Arial" w:eastAsia="Times New Roman" w:hAnsi="Arial" w:cs="Arial"/>
          <w:sz w:val="24"/>
          <w:szCs w:val="24"/>
        </w:rPr>
        <w:t>Ladywood</w:t>
      </w:r>
      <w:proofErr w:type="spellEnd"/>
      <w:r w:rsidRPr="005C5EC1">
        <w:rPr>
          <w:rFonts w:ascii="Arial" w:eastAsia="Times New Roman" w:hAnsi="Arial" w:cs="Arial"/>
          <w:sz w:val="24"/>
          <w:szCs w:val="24"/>
        </w:rPr>
        <w:t>, consistent with a busy arterial route (likely A38/A4540 ring road vicinity) rather than a single junction — suggesting the underlying risk factor may be corridor-wide traffic volume/geometry rather than one specific black-spot.</w:t>
      </w:r>
    </w:p>
    <w:p w14:paraId="6948033A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3.4 Total crash volume dipped in 2020, then rose through 2024.</w:t>
      </w:r>
      <w:r w:rsidRPr="005C5EC1">
        <w:rPr>
          <w:rFonts w:ascii="Arial" w:eastAsia="Times New Roman" w:hAnsi="Arial" w:cs="Arial"/>
          <w:sz w:val="24"/>
          <w:szCs w:val="24"/>
        </w:rPr>
        <w:t xml:space="preserve"> Annual totals: 2020 (1,802) → 2021 (2,137) → 2022 (2,383) → 2023 (2,199) → 2024 (2,296). The 2020 dip is consistent with reduced traffic volumes during COVID-19 restrictions; the subsequent rise likely reflects a return to pre-pandemic traffic levels.</w:t>
      </w:r>
    </w:p>
    <w:p w14:paraId="0AB0B120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lastRenderedPageBreak/>
        <w:t>3.5 Serious-injury crashes have trended upward even as overall patterns fluctuated.</w:t>
      </w:r>
      <w:r w:rsidRPr="005C5EC1">
        <w:rPr>
          <w:rFonts w:ascii="Arial" w:eastAsia="Times New Roman" w:hAnsi="Arial" w:cs="Arial"/>
          <w:sz w:val="24"/>
          <w:szCs w:val="24"/>
        </w:rPr>
        <w:t xml:space="preserve"> Serious-severity crashes rose from 308 (2020) to 459 (2024), a steeper increase than the overall volume trend — worth flagging as a distinct concern separate from raw crash counts.</w:t>
      </w:r>
    </w:p>
    <w:p w14:paraId="3787BF10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i/>
          <w:iCs/>
          <w:sz w:val="24"/>
          <w:szCs w:val="24"/>
        </w:rPr>
        <w:t>[Placeholder — fill in once you've manually reviewed the top hotspot locations via satellite/street view]:</w:t>
      </w:r>
      <w:r w:rsidRPr="005C5EC1">
        <w:rPr>
          <w:rFonts w:ascii="Arial" w:eastAsia="Times New Roman" w:hAnsi="Arial" w:cs="Arial"/>
          <w:sz w:val="24"/>
          <w:szCs w:val="24"/>
        </w:rPr>
        <w:t xml:space="preserve"> </w:t>
      </w:r>
      <w:r w:rsidRPr="005C5EC1">
        <w:rPr>
          <w:rFonts w:ascii="Arial" w:eastAsia="Times New Roman" w:hAnsi="Arial" w:cs="Arial"/>
          <w:b/>
          <w:bCs/>
          <w:sz w:val="24"/>
          <w:szCs w:val="24"/>
        </w:rPr>
        <w:t>3.6 Contributing factors at top hotspot locations:</w:t>
      </w:r>
      <w:r w:rsidRPr="005C5EC1">
        <w:rPr>
          <w:rFonts w:ascii="Arial" w:eastAsia="Times New Roman" w:hAnsi="Arial" w:cs="Arial"/>
          <w:sz w:val="24"/>
          <w:szCs w:val="24"/>
        </w:rPr>
        <w:t xml:space="preserve"> [e.g., "The two highest-confidence cells both correspond to signalized junctions on major arterial roads with high pedestrian footfall" — replace with your actual observations]</w:t>
      </w:r>
    </w:p>
    <w:p w14:paraId="6DB9A99E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4EA29CC1">
          <v:rect id="_x0000_i1029" style="width:0;height:1.5pt" o:hralign="center" o:hrstd="t" o:hr="t" fillcolor="#a0a0a0" stroked="f"/>
        </w:pict>
      </w:r>
    </w:p>
    <w:p w14:paraId="06AD0651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4. Recommendations</w:t>
      </w:r>
    </w:p>
    <w:p w14:paraId="36D804E7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i/>
          <w:iCs/>
          <w:sz w:val="24"/>
          <w:szCs w:val="24"/>
        </w:rPr>
        <w:t>(Draft — refine once contributing-factor analysis from Section 3.6 is complete)</w:t>
      </w:r>
    </w:p>
    <w:p w14:paraId="1840E398" w14:textId="77777777" w:rsidR="005C5EC1" w:rsidRPr="005C5EC1" w:rsidRDefault="005C5EC1" w:rsidP="005C5E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Prioritize a detailed engineering safety audit</w:t>
      </w:r>
      <w:r w:rsidRPr="005C5EC1">
        <w:rPr>
          <w:rFonts w:ascii="Arial" w:eastAsia="Times New Roman" w:hAnsi="Arial" w:cs="Arial"/>
          <w:sz w:val="24"/>
          <w:szCs w:val="24"/>
        </w:rPr>
        <w:t xml:space="preserve"> of the top 5 highest-confidence (99%) hotspot cells, starting with the two highest-intensity locations near the city centre.</w:t>
      </w:r>
    </w:p>
    <w:p w14:paraId="0C67F140" w14:textId="77777777" w:rsidR="005C5EC1" w:rsidRPr="005C5EC1" w:rsidRDefault="005C5EC1" w:rsidP="005C5E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Treat the identified corridor cluster as a single intervention zone</w:t>
      </w:r>
      <w:r w:rsidRPr="005C5EC1">
        <w:rPr>
          <w:rFonts w:ascii="Arial" w:eastAsia="Times New Roman" w:hAnsi="Arial" w:cs="Arial"/>
          <w:sz w:val="24"/>
          <w:szCs w:val="24"/>
        </w:rPr>
        <w:t xml:space="preserve"> rather than isolated points — corridor-wide measures (speed management, junction phasing review) may be more effective than point treatments alone.</w:t>
      </w:r>
    </w:p>
    <w:p w14:paraId="0A9ECC1E" w14:textId="77777777" w:rsidR="005C5EC1" w:rsidRPr="005C5EC1" w:rsidRDefault="005C5EC1" w:rsidP="005C5E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Investigate the rising serious-injury trend independently</w:t>
      </w:r>
      <w:r w:rsidRPr="005C5EC1">
        <w:rPr>
          <w:rFonts w:ascii="Arial" w:eastAsia="Times New Roman" w:hAnsi="Arial" w:cs="Arial"/>
          <w:sz w:val="24"/>
          <w:szCs w:val="24"/>
        </w:rPr>
        <w:t xml:space="preserve"> from overall crash volume — this may reflect changes in vehicle mix, speed, or road user behavior that warrant separate analysis.</w:t>
      </w:r>
    </w:p>
    <w:p w14:paraId="0909404B" w14:textId="77777777" w:rsidR="005C5EC1" w:rsidRPr="005C5EC1" w:rsidRDefault="005C5EC1" w:rsidP="005C5E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Cross-reference hotspot locations against planned infrastructure works</w:t>
      </w:r>
      <w:r w:rsidRPr="005C5EC1">
        <w:rPr>
          <w:rFonts w:ascii="Arial" w:eastAsia="Times New Roman" w:hAnsi="Arial" w:cs="Arial"/>
          <w:sz w:val="24"/>
          <w:szCs w:val="24"/>
        </w:rPr>
        <w:t xml:space="preserve"> — if any hotspot cells overlap with roads already scheduled for resurfacing or redesign, safety improvements could be bundled into existing capital projects at lower marginal cost.</w:t>
      </w:r>
    </w:p>
    <w:p w14:paraId="42F422DC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4F647CBE">
          <v:rect id="_x0000_i1030" style="width:0;height:1.5pt" o:hralign="center" o:hrstd="t" o:hr="t" fillcolor="#a0a0a0" stroked="f"/>
        </w:pict>
      </w:r>
    </w:p>
    <w:p w14:paraId="2AEA32CE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t>5. Limitations</w:t>
      </w:r>
    </w:p>
    <w:p w14:paraId="75ABDD5A" w14:textId="77777777" w:rsidR="005C5EC1" w:rsidRPr="005C5EC1" w:rsidRDefault="005C5EC1" w:rsidP="005C5E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>Grid-based aggregation (500m cells) necessarily smooths some spatial precision — a crash at a specific junction and a crash 400m down the same road may fall in the same cell.</w:t>
      </w:r>
    </w:p>
    <w:p w14:paraId="5D57C1B3" w14:textId="77777777" w:rsidR="005C5EC1" w:rsidRPr="005C5EC1" w:rsidRDefault="005C5EC1" w:rsidP="005C5E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 xml:space="preserve">STATS19 only records </w:t>
      </w:r>
      <w:r w:rsidRPr="005C5EC1">
        <w:rPr>
          <w:rFonts w:ascii="Arial" w:eastAsia="Times New Roman" w:hAnsi="Arial" w:cs="Arial"/>
          <w:i/>
          <w:iCs/>
          <w:sz w:val="24"/>
          <w:szCs w:val="24"/>
        </w:rPr>
        <w:t>reported</w:t>
      </w:r>
      <w:r w:rsidRPr="005C5EC1">
        <w:rPr>
          <w:rFonts w:ascii="Arial" w:eastAsia="Times New Roman" w:hAnsi="Arial" w:cs="Arial"/>
          <w:sz w:val="24"/>
          <w:szCs w:val="24"/>
        </w:rPr>
        <w:t xml:space="preserve"> collisions to police; near-misses and unreported minor incidents are not captured.</w:t>
      </w:r>
    </w:p>
    <w:p w14:paraId="0AAEE18C" w14:textId="77777777" w:rsidR="005C5EC1" w:rsidRPr="005C5EC1" w:rsidRDefault="005C5EC1" w:rsidP="005C5E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 xml:space="preserve">This analysis is descriptive/diagnostic (identifying </w:t>
      </w:r>
      <w:r w:rsidRPr="005C5EC1">
        <w:rPr>
          <w:rFonts w:ascii="Arial" w:eastAsia="Times New Roman" w:hAnsi="Arial" w:cs="Arial"/>
          <w:i/>
          <w:iCs/>
          <w:sz w:val="24"/>
          <w:szCs w:val="24"/>
        </w:rPr>
        <w:t>where</w:t>
      </w:r>
      <w:r w:rsidRPr="005C5EC1">
        <w:rPr>
          <w:rFonts w:ascii="Arial" w:eastAsia="Times New Roman" w:hAnsi="Arial" w:cs="Arial"/>
          <w:sz w:val="24"/>
          <w:szCs w:val="24"/>
        </w:rPr>
        <w:t xml:space="preserve">), not causal (fully explaining </w:t>
      </w:r>
      <w:r w:rsidRPr="005C5EC1">
        <w:rPr>
          <w:rFonts w:ascii="Arial" w:eastAsia="Times New Roman" w:hAnsi="Arial" w:cs="Arial"/>
          <w:i/>
          <w:iCs/>
          <w:sz w:val="24"/>
          <w:szCs w:val="24"/>
        </w:rPr>
        <w:t>why</w:t>
      </w:r>
      <w:r w:rsidRPr="005C5EC1">
        <w:rPr>
          <w:rFonts w:ascii="Arial" w:eastAsia="Times New Roman" w:hAnsi="Arial" w:cs="Arial"/>
          <w:sz w:val="24"/>
          <w:szCs w:val="24"/>
        </w:rPr>
        <w:t>) — Section 3.6 findings are observational and would benefit from traffic engineering site review before being treated as conclusive.</w:t>
      </w:r>
    </w:p>
    <w:p w14:paraId="720F7273" w14:textId="77777777" w:rsidR="005C5EC1" w:rsidRPr="005C5EC1" w:rsidRDefault="005C5EC1" w:rsidP="005C5E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t>2025 data was unavailable as final/validated STATS19 release at time of analysis (provisional data expected to finalize July 2026).</w:t>
      </w:r>
    </w:p>
    <w:p w14:paraId="55A6A7A1" w14:textId="77777777" w:rsidR="005C5EC1" w:rsidRPr="005C5EC1" w:rsidRDefault="005C5EC1" w:rsidP="005C5E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C5EC1">
        <w:rPr>
          <w:rFonts w:ascii="Arial" w:eastAsia="Times New Roman" w:hAnsi="Arial" w:cs="Arial"/>
          <w:sz w:val="24"/>
          <w:szCs w:val="24"/>
        </w:rPr>
        <w:pict w14:anchorId="5D125CB0">
          <v:rect id="_x0000_i1031" style="width:0;height:1.5pt" o:hralign="center" o:hrstd="t" o:hr="t" fillcolor="#a0a0a0" stroked="f"/>
        </w:pict>
      </w:r>
    </w:p>
    <w:p w14:paraId="75799D15" w14:textId="77777777" w:rsidR="005C5EC1" w:rsidRPr="005C5EC1" w:rsidRDefault="005C5EC1" w:rsidP="005C5EC1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5C5EC1">
        <w:rPr>
          <w:rFonts w:ascii="Arial" w:eastAsia="Times New Roman" w:hAnsi="Arial" w:cs="Arial"/>
          <w:b/>
          <w:bCs/>
          <w:sz w:val="24"/>
          <w:szCs w:val="24"/>
        </w:rPr>
        <w:lastRenderedPageBreak/>
        <w:t>6. Next Steps for This Project</w:t>
      </w:r>
    </w:p>
    <w:p w14:paraId="558C276A" w14:textId="77777777" w:rsidR="005C5EC1" w:rsidRPr="005C5EC1" w:rsidRDefault="005C5EC1" w:rsidP="005C5E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5C5EC1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5C5EC1">
        <w:rPr>
          <w:rFonts w:ascii="Arial" w:eastAsia="Times New Roman" w:hAnsi="Arial" w:cs="Arial"/>
          <w:sz w:val="24"/>
          <w:szCs w:val="24"/>
        </w:rPr>
        <w:t xml:space="preserve"> Complete Section 3.6 with actual site observations from top hotspot locations</w:t>
      </w:r>
    </w:p>
    <w:p w14:paraId="7CD0DFDA" w14:textId="77777777" w:rsidR="005C5EC1" w:rsidRPr="005C5EC1" w:rsidRDefault="005C5EC1" w:rsidP="005C5E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5C5EC1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5C5EC1">
        <w:rPr>
          <w:rFonts w:ascii="Arial" w:eastAsia="Times New Roman" w:hAnsi="Arial" w:cs="Arial"/>
          <w:sz w:val="24"/>
          <w:szCs w:val="24"/>
        </w:rPr>
        <w:t xml:space="preserve"> Build interactive Power BI dashboard for stakeholder exploration (filters: year, severity, time of day, road type)</w:t>
      </w:r>
    </w:p>
    <w:p w14:paraId="74289FEF" w14:textId="77777777" w:rsidR="005C5EC1" w:rsidRPr="005C5EC1" w:rsidRDefault="005C5EC1" w:rsidP="005C5E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5C5EC1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5C5EC1">
        <w:rPr>
          <w:rFonts w:ascii="Arial" w:eastAsia="Times New Roman" w:hAnsi="Arial" w:cs="Arial"/>
          <w:sz w:val="24"/>
          <w:szCs w:val="24"/>
        </w:rPr>
        <w:t xml:space="preserve"> Cross-tabulate hotspot cells against weather/lighting conditions to strengthen contributing-factor analysis</w:t>
      </w:r>
    </w:p>
    <w:p w14:paraId="558C89D6" w14:textId="77777777" w:rsidR="005C5EC1" w:rsidRPr="005C5EC1" w:rsidRDefault="005C5EC1" w:rsidP="005C5E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5C5EC1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5C5EC1">
        <w:rPr>
          <w:rFonts w:ascii="Arial" w:eastAsia="Times New Roman" w:hAnsi="Arial" w:cs="Arial"/>
          <w:sz w:val="24"/>
          <w:szCs w:val="24"/>
        </w:rPr>
        <w:t xml:space="preserve"> Finalize QGIS map export for portfolio/report inclusion</w:t>
      </w:r>
    </w:p>
    <w:p w14:paraId="0B90B3E2" w14:textId="77777777" w:rsidR="005C5EC1" w:rsidRPr="005C5EC1" w:rsidRDefault="005C5EC1" w:rsidP="005C5E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gramStart"/>
      <w:r w:rsidRPr="005C5EC1">
        <w:rPr>
          <w:rFonts w:ascii="Arial" w:eastAsia="Times New Roman" w:hAnsi="Arial" w:cs="Arial"/>
          <w:sz w:val="24"/>
          <w:szCs w:val="24"/>
        </w:rPr>
        <w:t>[ ]</w:t>
      </w:r>
      <w:proofErr w:type="gramEnd"/>
      <w:r w:rsidRPr="005C5EC1">
        <w:rPr>
          <w:rFonts w:ascii="Arial" w:eastAsia="Times New Roman" w:hAnsi="Arial" w:cs="Arial"/>
          <w:sz w:val="24"/>
          <w:szCs w:val="24"/>
        </w:rPr>
        <w:t xml:space="preserve"> Publish summary write-up (LinkedIn/portfolio site) condensing this report into a shorter public-facing version</w:t>
      </w:r>
    </w:p>
    <w:p w14:paraId="34C26CEB" w14:textId="77777777" w:rsidR="00BB6132" w:rsidRDefault="00BB6132"/>
    <w:sectPr w:rsidR="00BB6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15E7"/>
    <w:multiLevelType w:val="multilevel"/>
    <w:tmpl w:val="CC2E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C6191"/>
    <w:multiLevelType w:val="multilevel"/>
    <w:tmpl w:val="7ED6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03365"/>
    <w:multiLevelType w:val="multilevel"/>
    <w:tmpl w:val="E808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97663B"/>
    <w:multiLevelType w:val="multilevel"/>
    <w:tmpl w:val="83C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65"/>
    <w:rsid w:val="005C5EC1"/>
    <w:rsid w:val="00B82742"/>
    <w:rsid w:val="00BB6132"/>
    <w:rsid w:val="00D9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EDF91-765E-4A4E-8E2F-209D6DC9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2026-07-27T18:13:00Z</dcterms:created>
  <dcterms:modified xsi:type="dcterms:W3CDTF">2026-07-28T07:04:00Z</dcterms:modified>
</cp:coreProperties>
</file>