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B6255" w14:textId="77777777" w:rsidR="00C013AF" w:rsidRDefault="00C013AF">
      <w:pPr>
        <w:spacing w:before="1600"/>
      </w:pPr>
    </w:p>
    <w:p w14:paraId="6CA80901" w14:textId="77777777" w:rsidR="00C013AF" w:rsidRDefault="00411DCE">
      <w:pPr>
        <w:jc w:val="center"/>
      </w:pPr>
      <w:r>
        <w:rPr>
          <w:b/>
          <w:bCs/>
          <w:color w:val="1F3864"/>
          <w:sz w:val="44"/>
          <w:szCs w:val="44"/>
        </w:rPr>
        <w:t>ROAD TRAFFIC CRASH HOTSPOT ANALYSIS</w:t>
      </w:r>
    </w:p>
    <w:p w14:paraId="056E5911" w14:textId="57C8A1E8" w:rsidR="00C013AF" w:rsidRDefault="00411DCE">
      <w:pPr>
        <w:spacing w:before="200" w:after="100"/>
        <w:jc w:val="center"/>
      </w:pPr>
      <w:r>
        <w:rPr>
          <w:b/>
          <w:bCs/>
          <w:color w:val="C00000"/>
          <w:sz w:val="32"/>
          <w:szCs w:val="32"/>
        </w:rPr>
        <w:t>Birmingham, United Kingdom (2020</w:t>
      </w:r>
      <w:r w:rsidR="00894CB8">
        <w:rPr>
          <w:b/>
          <w:bCs/>
          <w:color w:val="C00000"/>
          <w:sz w:val="32"/>
          <w:szCs w:val="32"/>
        </w:rPr>
        <w:t xml:space="preserve"> - </w:t>
      </w:r>
      <w:r>
        <w:rPr>
          <w:b/>
          <w:bCs/>
          <w:color w:val="C00000"/>
          <w:sz w:val="32"/>
          <w:szCs w:val="32"/>
        </w:rPr>
        <w:t>2024)</w:t>
      </w:r>
    </w:p>
    <w:p w14:paraId="755B825E" w14:textId="77777777" w:rsidR="00C013AF" w:rsidRDefault="00411DCE">
      <w:pPr>
        <w:spacing w:before="100"/>
        <w:jc w:val="center"/>
      </w:pPr>
      <w:r>
        <w:rPr>
          <w:i/>
          <w:iCs/>
          <w:color w:val="595959"/>
          <w:sz w:val="22"/>
          <w:szCs w:val="22"/>
        </w:rPr>
        <w:t xml:space="preserve">A Spatial Statistical Investigation of Collision Clustering Using </w:t>
      </w:r>
      <w:proofErr w:type="spellStart"/>
      <w:r>
        <w:rPr>
          <w:i/>
          <w:iCs/>
          <w:color w:val="595959"/>
          <w:sz w:val="22"/>
          <w:szCs w:val="22"/>
        </w:rPr>
        <w:t>DfT</w:t>
      </w:r>
      <w:proofErr w:type="spellEnd"/>
      <w:r>
        <w:rPr>
          <w:i/>
          <w:iCs/>
          <w:color w:val="595959"/>
          <w:sz w:val="22"/>
          <w:szCs w:val="22"/>
        </w:rPr>
        <w:t xml:space="preserve"> STATS19 Road Safety Data</w:t>
      </w:r>
    </w:p>
    <w:p w14:paraId="52A53BE5" w14:textId="77777777" w:rsidR="00C013AF" w:rsidRDefault="00C013AF">
      <w:pPr>
        <w:spacing w:before="1400"/>
      </w:pPr>
    </w:p>
    <w:p w14:paraId="27F7A1D3" w14:textId="77777777" w:rsidR="00C013AF" w:rsidRDefault="00411DCE">
      <w:pPr>
        <w:jc w:val="center"/>
      </w:pPr>
      <w:r>
        <w:rPr>
          <w:b/>
          <w:bCs/>
          <w:sz w:val="24"/>
          <w:szCs w:val="24"/>
        </w:rPr>
        <w:t>Prepared by Bubuya Zelembu Dube</w:t>
      </w:r>
    </w:p>
    <w:p w14:paraId="6207E920" w14:textId="77777777" w:rsidR="00C013AF" w:rsidRDefault="00411DCE">
      <w:pPr>
        <w:spacing w:before="60"/>
        <w:jc w:val="center"/>
      </w:pPr>
      <w:r>
        <w:rPr>
          <w:color w:val="595959"/>
        </w:rPr>
        <w:t>Track/Railway Engineer | Data Analytics Portfolio Project</w:t>
      </w:r>
    </w:p>
    <w:p w14:paraId="648769C8" w14:textId="77777777" w:rsidR="00C013AF" w:rsidRDefault="00411DCE">
      <w:pPr>
        <w:spacing w:before="400"/>
        <w:jc w:val="center"/>
      </w:pPr>
      <w:r>
        <w:rPr>
          <w:color w:val="595959"/>
        </w:rPr>
        <w:t>July 2026</w:t>
      </w:r>
    </w:p>
    <w:p w14:paraId="39F212D8" w14:textId="77777777" w:rsidR="00C013AF" w:rsidRDefault="00C013AF">
      <w:pPr>
        <w:spacing w:before="1600"/>
      </w:pPr>
    </w:p>
    <w:p w14:paraId="16C9C59C" w14:textId="77777777" w:rsidR="00C013AF" w:rsidRDefault="00411DCE">
      <w:pPr>
        <w:pBdr>
          <w:top w:val="single" w:sz="4" w:space="8" w:color="BFBFBF"/>
        </w:pBdr>
        <w:spacing w:before="200"/>
        <w:jc w:val="center"/>
      </w:pPr>
      <w:r>
        <w:rPr>
          <w:color w:val="595959"/>
          <w:sz w:val="18"/>
          <w:szCs w:val="18"/>
        </w:rPr>
        <w:t xml:space="preserve">Tools: Python (pandas, </w:t>
      </w:r>
      <w:proofErr w:type="spellStart"/>
      <w:r>
        <w:rPr>
          <w:color w:val="595959"/>
          <w:sz w:val="18"/>
          <w:szCs w:val="18"/>
        </w:rPr>
        <w:t>geopandas</w:t>
      </w:r>
      <w:proofErr w:type="spellEnd"/>
      <w:r>
        <w:rPr>
          <w:color w:val="595959"/>
          <w:sz w:val="18"/>
          <w:szCs w:val="18"/>
        </w:rPr>
        <w:t xml:space="preserve">, </w:t>
      </w:r>
      <w:proofErr w:type="spellStart"/>
      <w:r>
        <w:rPr>
          <w:color w:val="595959"/>
          <w:sz w:val="18"/>
          <w:szCs w:val="18"/>
        </w:rPr>
        <w:t>PySAL</w:t>
      </w:r>
      <w:proofErr w:type="spellEnd"/>
      <w:r>
        <w:rPr>
          <w:color w:val="595959"/>
          <w:sz w:val="18"/>
          <w:szCs w:val="18"/>
        </w:rPr>
        <w:t>/</w:t>
      </w:r>
      <w:proofErr w:type="spellStart"/>
      <w:r>
        <w:rPr>
          <w:color w:val="595959"/>
          <w:sz w:val="18"/>
          <w:szCs w:val="18"/>
        </w:rPr>
        <w:t>esda</w:t>
      </w:r>
      <w:proofErr w:type="spellEnd"/>
      <w:r>
        <w:rPr>
          <w:color w:val="595959"/>
          <w:sz w:val="18"/>
          <w:szCs w:val="18"/>
        </w:rPr>
        <w:t>) · SQL (SQLite</w:t>
      </w:r>
      <w:r>
        <w:rPr>
          <w:color w:val="595959"/>
          <w:sz w:val="18"/>
          <w:szCs w:val="18"/>
        </w:rPr>
        <w:t>) · QGIS · Power BI · Microsoft Excel</w:t>
      </w:r>
    </w:p>
    <w:p w14:paraId="55AE9CAE" w14:textId="77777777" w:rsidR="00C013AF" w:rsidRDefault="00411DCE">
      <w:pPr>
        <w:spacing w:before="60"/>
        <w:jc w:val="center"/>
      </w:pPr>
      <w:r>
        <w:rPr>
          <w:color w:val="595959"/>
          <w:sz w:val="18"/>
          <w:szCs w:val="18"/>
        </w:rPr>
        <w:t>Data source: Department for Transport (</w:t>
      </w:r>
      <w:proofErr w:type="spellStart"/>
      <w:r>
        <w:rPr>
          <w:color w:val="595959"/>
          <w:sz w:val="18"/>
          <w:szCs w:val="18"/>
        </w:rPr>
        <w:t>DfT</w:t>
      </w:r>
      <w:proofErr w:type="spellEnd"/>
      <w:r>
        <w:rPr>
          <w:color w:val="595959"/>
          <w:sz w:val="18"/>
          <w:szCs w:val="18"/>
        </w:rPr>
        <w:t>) STATS19 Road Safety Data</w:t>
      </w:r>
    </w:p>
    <w:p w14:paraId="26BDA318" w14:textId="77777777" w:rsidR="00C013AF" w:rsidRDefault="00411DCE">
      <w:r>
        <w:br w:type="page"/>
      </w:r>
    </w:p>
    <w:p w14:paraId="54268810" w14:textId="77777777" w:rsidR="00C013AF" w:rsidRDefault="00411DCE">
      <w:pPr>
        <w:pStyle w:val="Heading1"/>
        <w:pBdr>
          <w:bottom w:val="single" w:sz="6" w:space="4" w:color="1F3864"/>
        </w:pBdr>
        <w:spacing w:before="400" w:after="200"/>
      </w:pPr>
      <w:r>
        <w:rPr>
          <w:b/>
          <w:bCs/>
          <w:color w:val="1F3864"/>
          <w:sz w:val="30"/>
          <w:szCs w:val="30"/>
        </w:rPr>
        <w:lastRenderedPageBreak/>
        <w:t>Table of Contents</w:t>
      </w:r>
    </w:p>
    <w:p w14:paraId="653EBE6E" w14:textId="77777777" w:rsidR="00C013AF" w:rsidRDefault="00411DCE">
      <w:pPr>
        <w:tabs>
          <w:tab w:val="right" w:leader="dot" w:pos="9026"/>
        </w:tabs>
        <w:spacing w:after="140"/>
      </w:pPr>
      <w:r>
        <w:rPr>
          <w:b/>
          <w:bCs/>
          <w:color w:val="1F3864"/>
          <w:sz w:val="22"/>
          <w:szCs w:val="22"/>
        </w:rPr>
        <w:t>Executive Summary</w:t>
      </w:r>
      <w:r>
        <w:rPr>
          <w:sz w:val="22"/>
          <w:szCs w:val="22"/>
        </w:rPr>
        <w:tab/>
        <w:t>3</w:t>
      </w:r>
    </w:p>
    <w:p w14:paraId="331C5C07" w14:textId="77777777" w:rsidR="00C013AF" w:rsidRDefault="00411DCE">
      <w:pPr>
        <w:tabs>
          <w:tab w:val="right" w:leader="dot" w:pos="9026"/>
        </w:tabs>
        <w:spacing w:after="140"/>
      </w:pPr>
      <w:r>
        <w:rPr>
          <w:b/>
          <w:bCs/>
          <w:color w:val="1F3864"/>
          <w:sz w:val="22"/>
          <w:szCs w:val="22"/>
        </w:rPr>
        <w:t>1. Background &amp; Objective</w:t>
      </w:r>
      <w:r>
        <w:rPr>
          <w:sz w:val="22"/>
          <w:szCs w:val="22"/>
        </w:rPr>
        <w:tab/>
        <w:t>4</w:t>
      </w:r>
    </w:p>
    <w:p w14:paraId="620338C1" w14:textId="77777777" w:rsidR="00C013AF" w:rsidRDefault="00411DCE">
      <w:pPr>
        <w:tabs>
          <w:tab w:val="right" w:leader="dot" w:pos="9026"/>
        </w:tabs>
        <w:spacing w:after="140"/>
      </w:pPr>
      <w:r>
        <w:rPr>
          <w:b/>
          <w:bCs/>
          <w:color w:val="1F3864"/>
          <w:sz w:val="22"/>
          <w:szCs w:val="22"/>
        </w:rPr>
        <w:t>2. Study Area &amp; Data</w:t>
      </w:r>
      <w:r>
        <w:rPr>
          <w:sz w:val="22"/>
          <w:szCs w:val="22"/>
        </w:rPr>
        <w:tab/>
        <w:t>5</w:t>
      </w:r>
    </w:p>
    <w:p w14:paraId="30A53781" w14:textId="0328F23E" w:rsidR="00C013AF" w:rsidRDefault="00411DCE">
      <w:pPr>
        <w:tabs>
          <w:tab w:val="right" w:leader="dot" w:pos="9026"/>
        </w:tabs>
        <w:spacing w:after="140"/>
      </w:pPr>
      <w:r>
        <w:rPr>
          <w:b/>
          <w:bCs/>
          <w:color w:val="1F3864"/>
          <w:sz w:val="22"/>
          <w:szCs w:val="22"/>
        </w:rPr>
        <w:t>3. Methodology</w:t>
      </w:r>
      <w:r>
        <w:rPr>
          <w:sz w:val="22"/>
          <w:szCs w:val="22"/>
        </w:rPr>
        <w:tab/>
      </w:r>
      <w:r w:rsidR="00894CB8">
        <w:rPr>
          <w:sz w:val="22"/>
          <w:szCs w:val="22"/>
        </w:rPr>
        <w:t>5</w:t>
      </w:r>
    </w:p>
    <w:p w14:paraId="4D4F1F36" w14:textId="7AB34C7B" w:rsidR="00C013AF" w:rsidRDefault="00411DCE">
      <w:pPr>
        <w:tabs>
          <w:tab w:val="right" w:leader="dot" w:pos="9026"/>
        </w:tabs>
        <w:spacing w:after="140"/>
      </w:pPr>
      <w:r>
        <w:rPr>
          <w:b/>
          <w:bCs/>
          <w:color w:val="1F3864"/>
          <w:sz w:val="22"/>
          <w:szCs w:val="22"/>
        </w:rPr>
        <w:t>4. Findings</w:t>
      </w:r>
      <w:r>
        <w:rPr>
          <w:sz w:val="22"/>
          <w:szCs w:val="22"/>
        </w:rPr>
        <w:tab/>
      </w:r>
      <w:r w:rsidR="00894CB8">
        <w:rPr>
          <w:sz w:val="22"/>
          <w:szCs w:val="22"/>
        </w:rPr>
        <w:t>6</w:t>
      </w:r>
    </w:p>
    <w:p w14:paraId="6F6D422A" w14:textId="33A74283" w:rsidR="00C013AF" w:rsidRDefault="00411DCE">
      <w:pPr>
        <w:tabs>
          <w:tab w:val="right" w:leader="dot" w:pos="9026"/>
        </w:tabs>
        <w:spacing w:after="140"/>
      </w:pPr>
      <w:r>
        <w:rPr>
          <w:b/>
          <w:bCs/>
          <w:color w:val="1F3864"/>
          <w:sz w:val="22"/>
          <w:szCs w:val="22"/>
        </w:rPr>
        <w:t>5. Site-Level Review of Pri</w:t>
      </w:r>
      <w:r>
        <w:rPr>
          <w:b/>
          <w:bCs/>
          <w:color w:val="1F3864"/>
          <w:sz w:val="22"/>
          <w:szCs w:val="22"/>
        </w:rPr>
        <w:t>ority Hotspots</w:t>
      </w:r>
      <w:r>
        <w:rPr>
          <w:sz w:val="22"/>
          <w:szCs w:val="22"/>
        </w:rPr>
        <w:tab/>
      </w:r>
      <w:r w:rsidR="00894CB8">
        <w:rPr>
          <w:sz w:val="22"/>
          <w:szCs w:val="22"/>
        </w:rPr>
        <w:t>8</w:t>
      </w:r>
    </w:p>
    <w:p w14:paraId="4D904682" w14:textId="0E2226B1" w:rsidR="00C013AF" w:rsidRDefault="00411DCE">
      <w:pPr>
        <w:tabs>
          <w:tab w:val="right" w:leader="dot" w:pos="9026"/>
        </w:tabs>
        <w:spacing w:after="140"/>
      </w:pPr>
      <w:r>
        <w:rPr>
          <w:b/>
          <w:bCs/>
          <w:color w:val="1F3864"/>
          <w:sz w:val="22"/>
          <w:szCs w:val="22"/>
        </w:rPr>
        <w:t>6. Interactive Dashboard</w:t>
      </w:r>
      <w:r>
        <w:rPr>
          <w:sz w:val="22"/>
          <w:szCs w:val="22"/>
        </w:rPr>
        <w:tab/>
        <w:t>1</w:t>
      </w:r>
      <w:r w:rsidR="00894CB8">
        <w:rPr>
          <w:sz w:val="22"/>
          <w:szCs w:val="22"/>
        </w:rPr>
        <w:t>2</w:t>
      </w:r>
    </w:p>
    <w:p w14:paraId="32EDCFCE" w14:textId="3621525A" w:rsidR="00C013AF" w:rsidRDefault="00411DCE">
      <w:pPr>
        <w:tabs>
          <w:tab w:val="right" w:leader="dot" w:pos="9026"/>
        </w:tabs>
        <w:spacing w:after="140"/>
      </w:pPr>
      <w:r>
        <w:rPr>
          <w:b/>
          <w:bCs/>
          <w:color w:val="1F3864"/>
          <w:sz w:val="22"/>
          <w:szCs w:val="22"/>
        </w:rPr>
        <w:t>7. Recommendations</w:t>
      </w:r>
      <w:r>
        <w:rPr>
          <w:sz w:val="22"/>
          <w:szCs w:val="22"/>
        </w:rPr>
        <w:tab/>
        <w:t>1</w:t>
      </w:r>
      <w:r w:rsidR="00894CB8">
        <w:rPr>
          <w:sz w:val="22"/>
          <w:szCs w:val="22"/>
        </w:rPr>
        <w:t>2</w:t>
      </w:r>
    </w:p>
    <w:p w14:paraId="6849DEDC" w14:textId="487FD751" w:rsidR="00C013AF" w:rsidRDefault="00411DCE">
      <w:pPr>
        <w:tabs>
          <w:tab w:val="right" w:leader="dot" w:pos="9026"/>
        </w:tabs>
        <w:spacing w:after="140"/>
      </w:pPr>
      <w:r>
        <w:rPr>
          <w:b/>
          <w:bCs/>
          <w:color w:val="1F3864"/>
          <w:sz w:val="22"/>
          <w:szCs w:val="22"/>
        </w:rPr>
        <w:t>8. Limitations</w:t>
      </w:r>
      <w:r>
        <w:rPr>
          <w:sz w:val="22"/>
          <w:szCs w:val="22"/>
        </w:rPr>
        <w:tab/>
        <w:t>1</w:t>
      </w:r>
      <w:r w:rsidR="00894CB8">
        <w:rPr>
          <w:sz w:val="22"/>
          <w:szCs w:val="22"/>
        </w:rPr>
        <w:t>3</w:t>
      </w:r>
    </w:p>
    <w:p w14:paraId="74F793A2" w14:textId="6177677E" w:rsidR="00C013AF" w:rsidRDefault="00411DCE">
      <w:pPr>
        <w:tabs>
          <w:tab w:val="right" w:leader="dot" w:pos="9026"/>
        </w:tabs>
        <w:spacing w:after="140"/>
      </w:pPr>
      <w:r>
        <w:rPr>
          <w:b/>
          <w:bCs/>
          <w:color w:val="1F3864"/>
          <w:sz w:val="22"/>
          <w:szCs w:val="22"/>
        </w:rPr>
        <w:t>9. Conclusion</w:t>
      </w:r>
      <w:r>
        <w:rPr>
          <w:sz w:val="22"/>
          <w:szCs w:val="22"/>
        </w:rPr>
        <w:tab/>
        <w:t>1</w:t>
      </w:r>
      <w:r w:rsidR="00894CB8">
        <w:rPr>
          <w:sz w:val="22"/>
          <w:szCs w:val="22"/>
        </w:rPr>
        <w:t>3</w:t>
      </w:r>
    </w:p>
    <w:p w14:paraId="58E79567" w14:textId="2024E7BE" w:rsidR="00C013AF" w:rsidRDefault="00411DCE">
      <w:pPr>
        <w:tabs>
          <w:tab w:val="right" w:leader="dot" w:pos="9026"/>
        </w:tabs>
        <w:spacing w:after="140"/>
      </w:pPr>
      <w:r>
        <w:rPr>
          <w:b/>
          <w:bCs/>
          <w:color w:val="1F3864"/>
          <w:sz w:val="22"/>
          <w:szCs w:val="22"/>
        </w:rPr>
        <w:t xml:space="preserve">Appendix A </w:t>
      </w:r>
      <w:r w:rsidR="00894CB8">
        <w:rPr>
          <w:b/>
          <w:bCs/>
          <w:color w:val="1F3864"/>
          <w:sz w:val="22"/>
          <w:szCs w:val="22"/>
        </w:rPr>
        <w:t>-</w:t>
      </w:r>
      <w:r>
        <w:rPr>
          <w:b/>
          <w:bCs/>
          <w:color w:val="1F3864"/>
          <w:sz w:val="22"/>
          <w:szCs w:val="22"/>
        </w:rPr>
        <w:t xml:space="preserve"> Tool Stack Summary</w:t>
      </w:r>
      <w:r>
        <w:rPr>
          <w:sz w:val="22"/>
          <w:szCs w:val="22"/>
        </w:rPr>
        <w:tab/>
        <w:t>1</w:t>
      </w:r>
      <w:r w:rsidR="00894CB8">
        <w:rPr>
          <w:sz w:val="22"/>
          <w:szCs w:val="22"/>
        </w:rPr>
        <w:t>4</w:t>
      </w:r>
    </w:p>
    <w:p w14:paraId="475B6B75" w14:textId="6CB0BDAF" w:rsidR="00C013AF" w:rsidRDefault="00411DCE">
      <w:pPr>
        <w:tabs>
          <w:tab w:val="right" w:leader="dot" w:pos="9026"/>
        </w:tabs>
        <w:spacing w:after="140"/>
      </w:pPr>
      <w:r>
        <w:rPr>
          <w:b/>
          <w:bCs/>
          <w:color w:val="1F3864"/>
          <w:sz w:val="22"/>
          <w:szCs w:val="22"/>
        </w:rPr>
        <w:t xml:space="preserve">Appendix B </w:t>
      </w:r>
      <w:r w:rsidR="00894CB8">
        <w:rPr>
          <w:b/>
          <w:bCs/>
          <w:color w:val="1F3864"/>
          <w:sz w:val="22"/>
          <w:szCs w:val="22"/>
        </w:rPr>
        <w:t>-</w:t>
      </w:r>
      <w:r>
        <w:rPr>
          <w:b/>
          <w:bCs/>
          <w:color w:val="1F3864"/>
          <w:sz w:val="22"/>
          <w:szCs w:val="22"/>
        </w:rPr>
        <w:t xml:space="preserve"> STATS19 Coding Reference</w:t>
      </w:r>
      <w:r>
        <w:rPr>
          <w:sz w:val="22"/>
          <w:szCs w:val="22"/>
        </w:rPr>
        <w:tab/>
        <w:t>1</w:t>
      </w:r>
      <w:r w:rsidR="00894CB8">
        <w:rPr>
          <w:sz w:val="22"/>
          <w:szCs w:val="22"/>
        </w:rPr>
        <w:t>4</w:t>
      </w:r>
    </w:p>
    <w:p w14:paraId="19363595" w14:textId="1D481F69" w:rsidR="00C013AF" w:rsidRDefault="00411DCE">
      <w:pPr>
        <w:tabs>
          <w:tab w:val="right" w:leader="dot" w:pos="9026"/>
        </w:tabs>
        <w:spacing w:after="140"/>
      </w:pPr>
      <w:r>
        <w:rPr>
          <w:b/>
          <w:bCs/>
          <w:color w:val="1F3864"/>
          <w:sz w:val="22"/>
          <w:szCs w:val="22"/>
        </w:rPr>
        <w:t xml:space="preserve">Appendix C </w:t>
      </w:r>
      <w:r w:rsidR="00894CB8">
        <w:rPr>
          <w:b/>
          <w:bCs/>
          <w:color w:val="1F3864"/>
          <w:sz w:val="22"/>
          <w:szCs w:val="22"/>
        </w:rPr>
        <w:t>-</w:t>
      </w:r>
      <w:r>
        <w:rPr>
          <w:b/>
          <w:bCs/>
          <w:color w:val="1F3864"/>
          <w:sz w:val="22"/>
          <w:szCs w:val="22"/>
        </w:rPr>
        <w:t xml:space="preserve"> Data Source &amp; References</w:t>
      </w:r>
      <w:r>
        <w:rPr>
          <w:sz w:val="22"/>
          <w:szCs w:val="22"/>
        </w:rPr>
        <w:tab/>
        <w:t>1</w:t>
      </w:r>
      <w:r w:rsidR="00894CB8">
        <w:rPr>
          <w:sz w:val="22"/>
          <w:szCs w:val="22"/>
        </w:rPr>
        <w:t>4</w:t>
      </w:r>
    </w:p>
    <w:p w14:paraId="4FB252F2" w14:textId="77777777" w:rsidR="00C013AF" w:rsidRDefault="00411DCE">
      <w:r>
        <w:br w:type="page"/>
      </w:r>
    </w:p>
    <w:p w14:paraId="0724E223" w14:textId="77777777" w:rsidR="00C013AF" w:rsidRDefault="00411DCE">
      <w:pPr>
        <w:pStyle w:val="Heading1"/>
        <w:pBdr>
          <w:bottom w:val="single" w:sz="6" w:space="4" w:color="1F3864"/>
        </w:pBdr>
        <w:spacing w:before="400" w:after="200"/>
      </w:pPr>
      <w:r>
        <w:rPr>
          <w:b/>
          <w:bCs/>
          <w:color w:val="1F3864"/>
          <w:sz w:val="30"/>
          <w:szCs w:val="30"/>
        </w:rPr>
        <w:lastRenderedPageBreak/>
        <w:t>Executive Summary</w:t>
      </w:r>
    </w:p>
    <w:p w14:paraId="2D04127C" w14:textId="004FA32C" w:rsidR="00C013AF" w:rsidRDefault="00411DCE">
      <w:pPr>
        <w:spacing w:after="180" w:line="276" w:lineRule="auto"/>
        <w:jc w:val="both"/>
      </w:pPr>
      <w:r>
        <w:rPr>
          <w:sz w:val="22"/>
          <w:szCs w:val="22"/>
        </w:rPr>
        <w:t>This report presents a spatial statistical analysis of 10,817 road traffic collisions recorded in Birmingham, United Kingdom, between 2020 and 2024, using the Department for Transport's STATS19 road safety dataset. The objective was to move beyond simple v</w:t>
      </w:r>
      <w:r>
        <w:rPr>
          <w:sz w:val="22"/>
          <w:szCs w:val="22"/>
        </w:rPr>
        <w:t>isual density mapping and identify locations where collision frequency is statistically too high to be explained by chance</w:t>
      </w:r>
      <w:r w:rsidR="001D44B1">
        <w:rPr>
          <w:sz w:val="22"/>
          <w:szCs w:val="22"/>
        </w:rPr>
        <w:t>,</w:t>
      </w:r>
      <w:r>
        <w:rPr>
          <w:sz w:val="22"/>
          <w:szCs w:val="22"/>
        </w:rPr>
        <w:t xml:space="preserve"> providing local road safety stakeholders with an evidence-based, defensible basis for prioritizing limited intervention resources.</w:t>
      </w:r>
    </w:p>
    <w:p w14:paraId="1045FA9D" w14:textId="736F1AAF" w:rsidR="00C013AF" w:rsidRDefault="00411DCE">
      <w:pPr>
        <w:spacing w:after="180" w:line="276" w:lineRule="auto"/>
        <w:jc w:val="both"/>
      </w:pPr>
      <w:r>
        <w:rPr>
          <w:sz w:val="22"/>
          <w:szCs w:val="22"/>
        </w:rPr>
        <w:t>Global spatial autocorrelation testing (Moran's I) confirmed that crashes in Birmingham are not randomly distributed</w:t>
      </w:r>
      <w:r w:rsidR="001D44B1">
        <w:rPr>
          <w:sz w:val="22"/>
          <w:szCs w:val="22"/>
        </w:rPr>
        <w:t>.</w:t>
      </w:r>
      <w:r>
        <w:rPr>
          <w:sz w:val="22"/>
          <w:szCs w:val="22"/>
        </w:rPr>
        <w:t xml:space="preserve"> </w:t>
      </w:r>
      <w:r w:rsidR="001D44B1">
        <w:rPr>
          <w:sz w:val="22"/>
          <w:szCs w:val="22"/>
        </w:rPr>
        <w:t>T</w:t>
      </w:r>
      <w:r>
        <w:rPr>
          <w:sz w:val="22"/>
          <w:szCs w:val="22"/>
        </w:rPr>
        <w:t xml:space="preserve">hey cluster strongly and significantly (Moran's I = 0.56, p = 0.001, z = 49.6). Local hotspot detection using the </w:t>
      </w:r>
      <w:proofErr w:type="spellStart"/>
      <w:r>
        <w:rPr>
          <w:sz w:val="22"/>
          <w:szCs w:val="22"/>
        </w:rPr>
        <w:t>Getis</w:t>
      </w:r>
      <w:proofErr w:type="spellEnd"/>
      <w:r>
        <w:rPr>
          <w:sz w:val="22"/>
          <w:szCs w:val="22"/>
        </w:rPr>
        <w:t>-Ord Gi* statistic</w:t>
      </w:r>
      <w:r>
        <w:rPr>
          <w:sz w:val="22"/>
          <w:szCs w:val="22"/>
        </w:rPr>
        <w:t xml:space="preserve">, applied to a 500-metre grid covering the study area, identified 105 statistically significant hotspot cells </w:t>
      </w:r>
      <w:r w:rsidR="001D44B1">
        <w:rPr>
          <w:sz w:val="22"/>
          <w:szCs w:val="22"/>
        </w:rPr>
        <w:t>(</w:t>
      </w:r>
      <w:r>
        <w:rPr>
          <w:sz w:val="22"/>
          <w:szCs w:val="22"/>
        </w:rPr>
        <w:t>5.5% of the study area</w:t>
      </w:r>
      <w:r w:rsidR="001D44B1">
        <w:rPr>
          <w:sz w:val="22"/>
          <w:szCs w:val="22"/>
        </w:rPr>
        <w:t>)</w:t>
      </w:r>
      <w:r>
        <w:rPr>
          <w:sz w:val="22"/>
          <w:szCs w:val="22"/>
        </w:rPr>
        <w:t xml:space="preserve"> </w:t>
      </w:r>
      <w:r>
        <w:rPr>
          <w:sz w:val="22"/>
          <w:szCs w:val="22"/>
        </w:rPr>
        <w:t>accounting for approximately 35% of all recorded collisions in the five-year window.</w:t>
      </w:r>
    </w:p>
    <w:p w14:paraId="67AC0B29" w14:textId="5F850551" w:rsidR="00C013AF" w:rsidRDefault="00411DCE">
      <w:pPr>
        <w:spacing w:after="180" w:line="276" w:lineRule="auto"/>
        <w:jc w:val="both"/>
      </w:pPr>
      <w:r>
        <w:rPr>
          <w:sz w:val="22"/>
          <w:szCs w:val="22"/>
        </w:rPr>
        <w:t>Site-level review of the five high</w:t>
      </w:r>
      <w:r>
        <w:rPr>
          <w:sz w:val="22"/>
          <w:szCs w:val="22"/>
        </w:rPr>
        <w:t>est-confidence hotspots revealed distinct, actionable risk profiles</w:t>
      </w:r>
      <w:r w:rsidR="001D44B1">
        <w:rPr>
          <w:sz w:val="22"/>
          <w:szCs w:val="22"/>
        </w:rPr>
        <w:t>.</w:t>
      </w:r>
      <w:r>
        <w:rPr>
          <w:sz w:val="22"/>
          <w:szCs w:val="22"/>
        </w:rPr>
        <w:t xml:space="preserve"> </w:t>
      </w:r>
      <w:r w:rsidR="001D44B1">
        <w:rPr>
          <w:sz w:val="22"/>
          <w:szCs w:val="22"/>
        </w:rPr>
        <w:t>A</w:t>
      </w:r>
      <w:r>
        <w:rPr>
          <w:sz w:val="22"/>
          <w:szCs w:val="22"/>
        </w:rPr>
        <w:t xml:space="preserve"> complex multi-arm gyratory at Bordesley Circus, a pedestrian-generator junction in Sparkbrook, a school-adjacent ring-road site at Parkes Avenue, a night-time economy district at Lower </w:t>
      </w:r>
      <w:r>
        <w:rPr>
          <w:sz w:val="22"/>
          <w:szCs w:val="22"/>
        </w:rPr>
        <w:t xml:space="preserve">Essex Street, and a ring-road/retail convergence point near the Mailbox. Notably, three of the five sites sit directly on Birmingham's ring-road corridor system, indicating that a corridor-level engineering review may be more effective than treating these </w:t>
      </w:r>
      <w:r>
        <w:rPr>
          <w:sz w:val="22"/>
          <w:szCs w:val="22"/>
        </w:rPr>
        <w:t>as isolated black-spots.</w:t>
      </w:r>
    </w:p>
    <w:p w14:paraId="4E351197" w14:textId="53865647" w:rsidR="00C013AF" w:rsidRDefault="00411DCE">
      <w:pPr>
        <w:spacing w:after="180" w:line="276" w:lineRule="auto"/>
        <w:jc w:val="both"/>
      </w:pPr>
      <w:r>
        <w:rPr>
          <w:sz w:val="22"/>
          <w:szCs w:val="22"/>
        </w:rPr>
        <w:t>A specific investigation into the Lower Essex Street hotspot</w:t>
      </w:r>
      <w:r w:rsidR="001D44B1">
        <w:rPr>
          <w:sz w:val="22"/>
          <w:szCs w:val="22"/>
        </w:rPr>
        <w:t xml:space="preserve">, </w:t>
      </w:r>
      <w:r>
        <w:rPr>
          <w:sz w:val="22"/>
          <w:szCs w:val="22"/>
        </w:rPr>
        <w:t>initially hypothesized to be a late-night, alcohol-related pattern given its location within Birmingham's Gay Village nightlife district</w:t>
      </w:r>
      <w:r w:rsidR="001D44B1">
        <w:rPr>
          <w:sz w:val="22"/>
          <w:szCs w:val="22"/>
        </w:rPr>
        <w:t>,</w:t>
      </w:r>
      <w:r>
        <w:rPr>
          <w:sz w:val="22"/>
          <w:szCs w:val="22"/>
        </w:rPr>
        <w:t xml:space="preserve"> found a more nuanced picture</w:t>
      </w:r>
      <w:r w:rsidR="001D44B1">
        <w:rPr>
          <w:sz w:val="22"/>
          <w:szCs w:val="22"/>
        </w:rPr>
        <w:t>.</w:t>
      </w:r>
      <w:r>
        <w:rPr>
          <w:sz w:val="22"/>
          <w:szCs w:val="22"/>
        </w:rPr>
        <w:t xml:space="preserve"> </w:t>
      </w:r>
      <w:r w:rsidR="001D44B1">
        <w:rPr>
          <w:sz w:val="22"/>
          <w:szCs w:val="22"/>
        </w:rPr>
        <w:t>W</w:t>
      </w:r>
      <w:r>
        <w:rPr>
          <w:sz w:val="22"/>
          <w:szCs w:val="22"/>
        </w:rPr>
        <w:t>hile darkness was associated with 59% of crashes at this site, the majority occurred with street lighting present and functioning, and the temporal pattern pointed toward winter dusk hours rather than late-night activity specifically. This finding change</w:t>
      </w:r>
      <w:r>
        <w:rPr>
          <w:sz w:val="22"/>
          <w:szCs w:val="22"/>
        </w:rPr>
        <w:t>d the recommended intervention from a lighting upgrade to targeted pedestrian crossing infrastructure.</w:t>
      </w:r>
    </w:p>
    <w:p w14:paraId="64F0A4B2" w14:textId="7C7856B2" w:rsidR="00C013AF" w:rsidRDefault="00411DCE">
      <w:pPr>
        <w:spacing w:after="180" w:line="276" w:lineRule="auto"/>
        <w:jc w:val="both"/>
      </w:pPr>
      <w:r>
        <w:rPr>
          <w:sz w:val="22"/>
          <w:szCs w:val="22"/>
        </w:rPr>
        <w:t>The analysis was delivered through a full data-analytics tool stack</w:t>
      </w:r>
      <w:r w:rsidR="001D44B1">
        <w:rPr>
          <w:sz w:val="22"/>
          <w:szCs w:val="22"/>
        </w:rPr>
        <w:t>.</w:t>
      </w:r>
      <w:r>
        <w:rPr>
          <w:sz w:val="22"/>
          <w:szCs w:val="22"/>
        </w:rPr>
        <w:t xml:space="preserve"> Python </w:t>
      </w:r>
      <w:r w:rsidR="001D44B1">
        <w:rPr>
          <w:sz w:val="22"/>
          <w:szCs w:val="22"/>
        </w:rPr>
        <w:t xml:space="preserve">was used </w:t>
      </w:r>
      <w:r>
        <w:rPr>
          <w:sz w:val="22"/>
          <w:szCs w:val="22"/>
        </w:rPr>
        <w:t>for data processing and spatial statistics, SQL for structured querying, QGIS</w:t>
      </w:r>
      <w:r>
        <w:rPr>
          <w:sz w:val="22"/>
          <w:szCs w:val="22"/>
        </w:rPr>
        <w:t xml:space="preserve"> for cartographic output, and Power BI for an interactive stakeholder-facing dashboard. Seven specific, site-linked recommendations are presented in Section 7.</w:t>
      </w:r>
    </w:p>
    <w:p w14:paraId="7EEB2E81" w14:textId="77777777" w:rsidR="00C013AF" w:rsidRDefault="00411DCE">
      <w:r>
        <w:br w:type="page"/>
      </w:r>
    </w:p>
    <w:p w14:paraId="1F641602" w14:textId="3B90CF84" w:rsidR="00C013AF" w:rsidRDefault="00411DCE">
      <w:pPr>
        <w:pStyle w:val="Heading1"/>
        <w:pBdr>
          <w:bottom w:val="single" w:sz="6" w:space="4" w:color="1F3864"/>
        </w:pBdr>
        <w:spacing w:before="400" w:after="200"/>
      </w:pPr>
      <w:r>
        <w:rPr>
          <w:b/>
          <w:bCs/>
          <w:color w:val="1F3864"/>
          <w:sz w:val="30"/>
          <w:szCs w:val="30"/>
        </w:rPr>
        <w:lastRenderedPageBreak/>
        <w:t xml:space="preserve">1. Background </w:t>
      </w:r>
      <w:r w:rsidR="001D44B1">
        <w:rPr>
          <w:b/>
          <w:bCs/>
          <w:color w:val="1F3864"/>
          <w:sz w:val="30"/>
          <w:szCs w:val="30"/>
        </w:rPr>
        <w:t>and</w:t>
      </w:r>
      <w:r>
        <w:rPr>
          <w:b/>
          <w:bCs/>
          <w:color w:val="1F3864"/>
          <w:sz w:val="30"/>
          <w:szCs w:val="30"/>
        </w:rPr>
        <w:t xml:space="preserve"> Objective</w:t>
      </w:r>
    </w:p>
    <w:p w14:paraId="5DAD0A0A" w14:textId="77777777" w:rsidR="00C013AF" w:rsidRDefault="00411DCE">
      <w:pPr>
        <w:pStyle w:val="Heading2"/>
        <w:spacing w:before="300" w:after="150"/>
      </w:pPr>
      <w:r>
        <w:rPr>
          <w:b/>
          <w:bCs/>
          <w:color w:val="1F3864"/>
          <w:sz w:val="24"/>
          <w:szCs w:val="24"/>
        </w:rPr>
        <w:t>1.1 Problem Statement</w:t>
      </w:r>
    </w:p>
    <w:p w14:paraId="52670E21" w14:textId="6DC77361" w:rsidR="00C013AF" w:rsidRDefault="00411DCE">
      <w:pPr>
        <w:spacing w:after="180" w:line="276" w:lineRule="auto"/>
        <w:jc w:val="both"/>
      </w:pPr>
      <w:r>
        <w:rPr>
          <w:sz w:val="22"/>
          <w:szCs w:val="22"/>
        </w:rPr>
        <w:t>Local authorities and road safety teams operat</w:t>
      </w:r>
      <w:r>
        <w:rPr>
          <w:sz w:val="22"/>
          <w:szCs w:val="22"/>
        </w:rPr>
        <w:t>e under persistent resource constraints: safety audits, signage upgrades, lighting improvements, and speed enforcement cannot be applied uniformly across an entire city. Effective prioritization requires knowing not just where crashes have historically occ</w:t>
      </w:r>
      <w:r>
        <w:rPr>
          <w:sz w:val="22"/>
          <w:szCs w:val="22"/>
        </w:rPr>
        <w:t>urred, but where their concentration is statistically meaningful</w:t>
      </w:r>
      <w:r w:rsidR="001D44B1">
        <w:rPr>
          <w:sz w:val="22"/>
          <w:szCs w:val="22"/>
        </w:rPr>
        <w:t xml:space="preserve">, </w:t>
      </w:r>
      <w:r>
        <w:rPr>
          <w:sz w:val="22"/>
          <w:szCs w:val="22"/>
        </w:rPr>
        <w:t>as distinct from areas that simply carry more background traffic volume and therefore more crashes in raw terms.</w:t>
      </w:r>
    </w:p>
    <w:p w14:paraId="5695E26D" w14:textId="0CAD8028" w:rsidR="00C013AF" w:rsidRDefault="00411DCE">
      <w:pPr>
        <w:spacing w:after="180" w:line="276" w:lineRule="auto"/>
        <w:jc w:val="both"/>
      </w:pPr>
      <w:r>
        <w:rPr>
          <w:sz w:val="22"/>
          <w:szCs w:val="22"/>
        </w:rPr>
        <w:t>This project was undertaken to demonstrate an end-to-end, statistically rigo</w:t>
      </w:r>
      <w:r>
        <w:rPr>
          <w:sz w:val="22"/>
          <w:szCs w:val="22"/>
        </w:rPr>
        <w:t>rous approach to that prioritization problem, using Birmingham as the study city and full engineering interpretation layered on top of the statistical output</w:t>
      </w:r>
      <w:r w:rsidR="001D44B1">
        <w:rPr>
          <w:sz w:val="22"/>
          <w:szCs w:val="22"/>
        </w:rPr>
        <w:t>,</w:t>
      </w:r>
      <w:r>
        <w:rPr>
          <w:sz w:val="22"/>
          <w:szCs w:val="22"/>
        </w:rPr>
        <w:t xml:space="preserve"> reflecting the author's professional background in railway and civil infrastructure engineering.</w:t>
      </w:r>
    </w:p>
    <w:p w14:paraId="4F1C52A7" w14:textId="77777777" w:rsidR="00C013AF" w:rsidRDefault="00411DCE">
      <w:pPr>
        <w:pStyle w:val="Heading2"/>
        <w:spacing w:before="300" w:after="150"/>
      </w:pPr>
      <w:r>
        <w:rPr>
          <w:b/>
          <w:bCs/>
          <w:color w:val="1F3864"/>
          <w:sz w:val="24"/>
          <w:szCs w:val="24"/>
        </w:rPr>
        <w:t>1.2 Objectives</w:t>
      </w:r>
    </w:p>
    <w:p w14:paraId="0C9BAF75" w14:textId="77777777" w:rsidR="00C013AF" w:rsidRDefault="00411DCE" w:rsidP="001D44B1">
      <w:pPr>
        <w:pStyle w:val="ListParagraph"/>
        <w:numPr>
          <w:ilvl w:val="0"/>
          <w:numId w:val="2"/>
        </w:numPr>
        <w:spacing w:after="100" w:line="264" w:lineRule="auto"/>
        <w:jc w:val="both"/>
      </w:pPr>
      <w:r>
        <w:rPr>
          <w:sz w:val="22"/>
          <w:szCs w:val="22"/>
        </w:rPr>
        <w:t xml:space="preserve">Identify statistically significant crash hotspots within Birmingham using established spatial statistical methods (Moran's I, </w:t>
      </w:r>
      <w:proofErr w:type="spellStart"/>
      <w:r>
        <w:rPr>
          <w:sz w:val="22"/>
          <w:szCs w:val="22"/>
        </w:rPr>
        <w:t>Getis</w:t>
      </w:r>
      <w:proofErr w:type="spellEnd"/>
      <w:r>
        <w:rPr>
          <w:sz w:val="22"/>
          <w:szCs w:val="22"/>
        </w:rPr>
        <w:t>-Ord Gi*), rather than relying on visual density estimation alone.</w:t>
      </w:r>
    </w:p>
    <w:p w14:paraId="4BA6C65D" w14:textId="77777777" w:rsidR="00C013AF" w:rsidRDefault="00411DCE" w:rsidP="001D44B1">
      <w:pPr>
        <w:pStyle w:val="ListParagraph"/>
        <w:numPr>
          <w:ilvl w:val="0"/>
          <w:numId w:val="2"/>
        </w:numPr>
        <w:spacing w:after="100" w:line="264" w:lineRule="auto"/>
        <w:jc w:val="both"/>
      </w:pPr>
      <w:r>
        <w:rPr>
          <w:sz w:val="22"/>
          <w:szCs w:val="22"/>
        </w:rPr>
        <w:t>Ground the statistical findings in real-wo</w:t>
      </w:r>
      <w:r>
        <w:rPr>
          <w:sz w:val="22"/>
          <w:szCs w:val="22"/>
        </w:rPr>
        <w:t>rld site context through targeted location review.</w:t>
      </w:r>
    </w:p>
    <w:p w14:paraId="5814B3BA" w14:textId="198EA660" w:rsidR="00C013AF" w:rsidRDefault="00411DCE" w:rsidP="001D44B1">
      <w:pPr>
        <w:pStyle w:val="ListParagraph"/>
        <w:numPr>
          <w:ilvl w:val="0"/>
          <w:numId w:val="2"/>
        </w:numPr>
        <w:spacing w:after="100" w:line="264" w:lineRule="auto"/>
        <w:jc w:val="both"/>
      </w:pPr>
      <w:r>
        <w:rPr>
          <w:sz w:val="22"/>
          <w:szCs w:val="22"/>
        </w:rPr>
        <w:t xml:space="preserve">Produce a decision-ready set of outputs </w:t>
      </w:r>
      <w:r w:rsidR="001D44B1">
        <w:rPr>
          <w:sz w:val="22"/>
          <w:szCs w:val="22"/>
        </w:rPr>
        <w:t xml:space="preserve">covering </w:t>
      </w:r>
      <w:r>
        <w:rPr>
          <w:sz w:val="22"/>
          <w:szCs w:val="22"/>
        </w:rPr>
        <w:t>cartographic map, interactive dashboard, and written findings</w:t>
      </w:r>
      <w:r w:rsidR="001D44B1">
        <w:rPr>
          <w:sz w:val="22"/>
          <w:szCs w:val="22"/>
        </w:rPr>
        <w:t>,</w:t>
      </w:r>
      <w:r>
        <w:rPr>
          <w:sz w:val="22"/>
          <w:szCs w:val="22"/>
        </w:rPr>
        <w:t xml:space="preserve"> suitable for a road safety stakeholder audience.</w:t>
      </w:r>
    </w:p>
    <w:p w14:paraId="2D3FCD86" w14:textId="77777777" w:rsidR="00C013AF" w:rsidRDefault="00411DCE" w:rsidP="001D44B1">
      <w:pPr>
        <w:pStyle w:val="ListParagraph"/>
        <w:numPr>
          <w:ilvl w:val="0"/>
          <w:numId w:val="2"/>
        </w:numPr>
        <w:spacing w:after="100" w:line="264" w:lineRule="auto"/>
        <w:jc w:val="both"/>
      </w:pPr>
      <w:r>
        <w:rPr>
          <w:sz w:val="22"/>
          <w:szCs w:val="22"/>
        </w:rPr>
        <w:t>Demonstrate a complete, portfolio-representative d</w:t>
      </w:r>
      <w:r>
        <w:rPr>
          <w:sz w:val="22"/>
          <w:szCs w:val="22"/>
        </w:rPr>
        <w:t>ata analytics tool stack: Python, SQL, GIS, and business intelligence dashboarding.</w:t>
      </w:r>
    </w:p>
    <w:p w14:paraId="6B69872E" w14:textId="3D78B301" w:rsidR="00C013AF" w:rsidRDefault="00411DCE" w:rsidP="001D44B1">
      <w:r>
        <w:rPr>
          <w:b/>
          <w:bCs/>
          <w:color w:val="1F3864"/>
          <w:sz w:val="30"/>
          <w:szCs w:val="30"/>
        </w:rPr>
        <w:t xml:space="preserve">2. Study Area </w:t>
      </w:r>
      <w:r w:rsidR="001D44B1">
        <w:rPr>
          <w:b/>
          <w:bCs/>
          <w:color w:val="1F3864"/>
          <w:sz w:val="30"/>
          <w:szCs w:val="30"/>
        </w:rPr>
        <w:t>and</w:t>
      </w:r>
      <w:r>
        <w:rPr>
          <w:b/>
          <w:bCs/>
          <w:color w:val="1F3864"/>
          <w:sz w:val="30"/>
          <w:szCs w:val="30"/>
        </w:rPr>
        <w:t xml:space="preserve"> Data</w:t>
      </w:r>
    </w:p>
    <w:p w14:paraId="4A73D922" w14:textId="77777777" w:rsidR="00C013AF" w:rsidRDefault="00411DCE">
      <w:pPr>
        <w:pStyle w:val="Heading2"/>
        <w:spacing w:before="300" w:after="150"/>
      </w:pPr>
      <w:r>
        <w:rPr>
          <w:b/>
          <w:bCs/>
          <w:color w:val="1F3864"/>
          <w:sz w:val="24"/>
          <w:szCs w:val="24"/>
        </w:rPr>
        <w:t>2</w:t>
      </w:r>
      <w:r>
        <w:rPr>
          <w:b/>
          <w:bCs/>
          <w:color w:val="1F3864"/>
          <w:sz w:val="24"/>
          <w:szCs w:val="24"/>
        </w:rPr>
        <w:t>.1 Study Area</w:t>
      </w:r>
    </w:p>
    <w:p w14:paraId="595DDD12" w14:textId="485CC1AF" w:rsidR="00C013AF" w:rsidRDefault="00411DCE">
      <w:pPr>
        <w:spacing w:after="180" w:line="276" w:lineRule="auto"/>
        <w:jc w:val="both"/>
      </w:pPr>
      <w:r>
        <w:rPr>
          <w:sz w:val="22"/>
          <w:szCs w:val="22"/>
        </w:rPr>
        <w:t>The study area is the Birmingham Local Authority District (ONS geography code E08000025), England's second-largest city by population. Birmingham was selected for its combination of high collision volume</w:t>
      </w:r>
      <w:r>
        <w:rPr>
          <w:sz w:val="22"/>
          <w:szCs w:val="22"/>
        </w:rPr>
        <w:t>, a mixed road environment spanning motorway-adjacent corridors, a dense urban grid, and a defined ring-road system, and strong data availability through the national STATS19 reporting framework.</w:t>
      </w:r>
    </w:p>
    <w:p w14:paraId="00F6CEB7" w14:textId="77777777" w:rsidR="00C013AF" w:rsidRDefault="00411DCE">
      <w:pPr>
        <w:pStyle w:val="Heading2"/>
        <w:spacing w:before="300" w:after="150"/>
      </w:pPr>
      <w:r>
        <w:rPr>
          <w:b/>
          <w:bCs/>
          <w:color w:val="1F3864"/>
          <w:sz w:val="24"/>
          <w:szCs w:val="24"/>
        </w:rPr>
        <w:t>2.2 Data Source</w:t>
      </w:r>
    </w:p>
    <w:p w14:paraId="1764E76C" w14:textId="00D27F94" w:rsidR="00C013AF" w:rsidRDefault="00411DCE">
      <w:pPr>
        <w:spacing w:after="180" w:line="276" w:lineRule="auto"/>
        <w:jc w:val="both"/>
      </w:pPr>
      <w:r>
        <w:rPr>
          <w:sz w:val="22"/>
          <w:szCs w:val="22"/>
        </w:rPr>
        <w:t>Collision-level data was obtained from the</w:t>
      </w:r>
      <w:r>
        <w:rPr>
          <w:sz w:val="22"/>
          <w:szCs w:val="22"/>
        </w:rPr>
        <w:t xml:space="preserve"> Department for Transport's STATS19 Road Safety Data, published via data.gov.uk. STATS19 is the UK's official police-reported road collision dataset</w:t>
      </w:r>
      <w:r w:rsidR="001D44B1">
        <w:rPr>
          <w:sz w:val="22"/>
          <w:szCs w:val="22"/>
        </w:rPr>
        <w:t>. The data paid particular attention to</w:t>
      </w:r>
      <w:r>
        <w:rPr>
          <w:sz w:val="22"/>
          <w:szCs w:val="22"/>
        </w:rPr>
        <w:t xml:space="preserve"> </w:t>
      </w:r>
      <w:r>
        <w:rPr>
          <w:sz w:val="22"/>
          <w:szCs w:val="22"/>
        </w:rPr>
        <w:t>location</w:t>
      </w:r>
      <w:r>
        <w:rPr>
          <w:sz w:val="22"/>
          <w:szCs w:val="22"/>
        </w:rPr>
        <w:t xml:space="preserve">, date </w:t>
      </w:r>
      <w:r>
        <w:rPr>
          <w:sz w:val="22"/>
          <w:szCs w:val="22"/>
        </w:rPr>
        <w:t>and time, severity, number of vehicles and casualties, road type and class, speed limit, junction detail, light and weather conditions, and local authority.</w:t>
      </w:r>
    </w:p>
    <w:p w14:paraId="150EE2C5" w14:textId="77777777" w:rsidR="00C013AF" w:rsidRDefault="00411DCE">
      <w:pPr>
        <w:pStyle w:val="Heading2"/>
        <w:spacing w:before="300" w:after="150"/>
      </w:pPr>
      <w:r>
        <w:rPr>
          <w:b/>
          <w:bCs/>
          <w:color w:val="1F3864"/>
          <w:sz w:val="24"/>
          <w:szCs w:val="24"/>
        </w:rPr>
        <w:t>2.3 Study Window</w:t>
      </w:r>
    </w:p>
    <w:p w14:paraId="771E57F2" w14:textId="2476CA81" w:rsidR="00C013AF" w:rsidRDefault="00411DCE">
      <w:pPr>
        <w:spacing w:after="180" w:line="276" w:lineRule="auto"/>
        <w:jc w:val="both"/>
      </w:pPr>
      <w:r>
        <w:rPr>
          <w:sz w:val="22"/>
          <w:szCs w:val="22"/>
        </w:rPr>
        <w:t>The analysis cover</w:t>
      </w:r>
      <w:r w:rsidR="001D44B1">
        <w:rPr>
          <w:sz w:val="22"/>
          <w:szCs w:val="22"/>
        </w:rPr>
        <w:t>ed the</w:t>
      </w:r>
      <w:r>
        <w:rPr>
          <w:sz w:val="22"/>
          <w:szCs w:val="22"/>
        </w:rPr>
        <w:t xml:space="preserve"> 2020</w:t>
      </w:r>
      <w:r w:rsidR="001D44B1">
        <w:rPr>
          <w:sz w:val="22"/>
          <w:szCs w:val="22"/>
        </w:rPr>
        <w:t xml:space="preserve"> - </w:t>
      </w:r>
      <w:r>
        <w:rPr>
          <w:sz w:val="22"/>
          <w:szCs w:val="22"/>
        </w:rPr>
        <w:t>2024</w:t>
      </w:r>
      <w:r w:rsidR="001D44B1">
        <w:rPr>
          <w:sz w:val="22"/>
          <w:szCs w:val="22"/>
        </w:rPr>
        <w:t xml:space="preserve"> dataset</w:t>
      </w:r>
      <w:r>
        <w:rPr>
          <w:sz w:val="22"/>
          <w:szCs w:val="22"/>
        </w:rPr>
        <w:t>. At the time of analysis, STATS19 final validated da</w:t>
      </w:r>
      <w:r>
        <w:rPr>
          <w:sz w:val="22"/>
          <w:szCs w:val="22"/>
        </w:rPr>
        <w:t>ta was available only through 2024</w:t>
      </w:r>
      <w:r w:rsidR="001D44B1">
        <w:rPr>
          <w:sz w:val="22"/>
          <w:szCs w:val="22"/>
        </w:rPr>
        <w:t>.</w:t>
      </w:r>
      <w:r>
        <w:rPr>
          <w:sz w:val="22"/>
          <w:szCs w:val="22"/>
        </w:rPr>
        <w:t xml:space="preserve"> 2025 data existed solely in provisional form, with final publication scheduled </w:t>
      </w:r>
      <w:r>
        <w:rPr>
          <w:sz w:val="22"/>
          <w:szCs w:val="22"/>
        </w:rPr>
        <w:lastRenderedPageBreak/>
        <w:t>for July 2026. The 2020–2024 window was therefore selected to preserve a genuine five-year study period using only final, validated data.</w:t>
      </w:r>
    </w:p>
    <w:p w14:paraId="6220E632" w14:textId="77777777" w:rsidR="00C013AF" w:rsidRDefault="00411DCE">
      <w:pPr>
        <w:pStyle w:val="Heading2"/>
        <w:spacing w:before="300" w:after="150"/>
      </w:pPr>
      <w:r>
        <w:rPr>
          <w:b/>
          <w:bCs/>
          <w:color w:val="1F3864"/>
          <w:sz w:val="24"/>
          <w:szCs w:val="24"/>
        </w:rPr>
        <w:t>2.4</w:t>
      </w:r>
      <w:r>
        <w:rPr>
          <w:b/>
          <w:bCs/>
          <w:color w:val="1F3864"/>
          <w:sz w:val="24"/>
          <w:szCs w:val="24"/>
        </w:rPr>
        <w:t xml:space="preserve"> Dataset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4208"/>
      </w:tblGrid>
      <w:tr w:rsidR="00C013AF" w14:paraId="6BA9D74A" w14:textId="77777777">
        <w:tblPrEx>
          <w:tblCellMar>
            <w:top w:w="0" w:type="dxa"/>
            <w:bottom w:w="0" w:type="dxa"/>
          </w:tblCellMar>
        </w:tblPrEx>
        <w:tc>
          <w:tcPr>
            <w:tcW w:w="2750" w:type="pct"/>
            <w:shd w:val="clear" w:color="auto" w:fill="1F3864"/>
            <w:tcMar>
              <w:top w:w="80" w:type="dxa"/>
              <w:left w:w="100" w:type="dxa"/>
              <w:bottom w:w="80" w:type="dxa"/>
              <w:right w:w="100" w:type="dxa"/>
            </w:tcMar>
            <w:vAlign w:val="center"/>
          </w:tcPr>
          <w:p w14:paraId="232BF763" w14:textId="77777777" w:rsidR="00C013AF" w:rsidRDefault="00411DCE">
            <w:r>
              <w:rPr>
                <w:b/>
                <w:bCs/>
                <w:color w:val="FFFFFF"/>
              </w:rPr>
              <w:t>Metric</w:t>
            </w:r>
          </w:p>
        </w:tc>
        <w:tc>
          <w:tcPr>
            <w:tcW w:w="2250" w:type="pct"/>
            <w:shd w:val="clear" w:color="auto" w:fill="1F3864"/>
            <w:tcMar>
              <w:top w:w="80" w:type="dxa"/>
              <w:left w:w="100" w:type="dxa"/>
              <w:bottom w:w="80" w:type="dxa"/>
              <w:right w:w="100" w:type="dxa"/>
            </w:tcMar>
            <w:vAlign w:val="center"/>
          </w:tcPr>
          <w:p w14:paraId="68BE6808" w14:textId="77777777" w:rsidR="00C013AF" w:rsidRDefault="00411DCE">
            <w:pPr>
              <w:jc w:val="center"/>
            </w:pPr>
            <w:r>
              <w:rPr>
                <w:b/>
                <w:bCs/>
                <w:color w:val="FFFFFF"/>
              </w:rPr>
              <w:t>Value</w:t>
            </w:r>
          </w:p>
        </w:tc>
      </w:tr>
      <w:tr w:rsidR="00C013AF" w14:paraId="5C43424C" w14:textId="77777777">
        <w:tblPrEx>
          <w:tblCellMar>
            <w:top w:w="0" w:type="dxa"/>
            <w:bottom w:w="0" w:type="dxa"/>
          </w:tblCellMar>
        </w:tblPrEx>
        <w:tc>
          <w:tcPr>
            <w:tcW w:w="1250" w:type="pct"/>
            <w:tcMar>
              <w:top w:w="80" w:type="dxa"/>
              <w:left w:w="100" w:type="dxa"/>
              <w:bottom w:w="80" w:type="dxa"/>
              <w:right w:w="100" w:type="dxa"/>
            </w:tcMar>
            <w:vAlign w:val="center"/>
          </w:tcPr>
          <w:p w14:paraId="6DB530A9" w14:textId="77777777" w:rsidR="00C013AF" w:rsidRDefault="00411DCE">
            <w:r>
              <w:rPr>
                <w:color w:val="000000"/>
              </w:rPr>
              <w:t>Total collision records (Birmingham, 2020–2024)</w:t>
            </w:r>
          </w:p>
        </w:tc>
        <w:tc>
          <w:tcPr>
            <w:tcW w:w="1250" w:type="pct"/>
            <w:tcMar>
              <w:top w:w="80" w:type="dxa"/>
              <w:left w:w="100" w:type="dxa"/>
              <w:bottom w:w="80" w:type="dxa"/>
              <w:right w:w="100" w:type="dxa"/>
            </w:tcMar>
            <w:vAlign w:val="center"/>
          </w:tcPr>
          <w:p w14:paraId="5B18AA1F" w14:textId="77777777" w:rsidR="00C013AF" w:rsidRDefault="00411DCE">
            <w:pPr>
              <w:jc w:val="center"/>
            </w:pPr>
            <w:r>
              <w:rPr>
                <w:color w:val="000000"/>
              </w:rPr>
              <w:t>10,817</w:t>
            </w:r>
          </w:p>
        </w:tc>
      </w:tr>
      <w:tr w:rsidR="00C013AF" w14:paraId="438CD45A" w14:textId="77777777">
        <w:tblPrEx>
          <w:tblCellMar>
            <w:top w:w="0" w:type="dxa"/>
            <w:bottom w:w="0" w:type="dxa"/>
          </w:tblCellMar>
        </w:tblPrEx>
        <w:tc>
          <w:tcPr>
            <w:tcW w:w="1250" w:type="pct"/>
            <w:tcMar>
              <w:top w:w="80" w:type="dxa"/>
              <w:left w:w="100" w:type="dxa"/>
              <w:bottom w:w="80" w:type="dxa"/>
              <w:right w:w="100" w:type="dxa"/>
            </w:tcMar>
            <w:vAlign w:val="center"/>
          </w:tcPr>
          <w:p w14:paraId="1B53520D" w14:textId="77777777" w:rsidR="00C013AF" w:rsidRDefault="00411DCE">
            <w:r>
              <w:rPr>
                <w:color w:val="000000"/>
              </w:rPr>
              <w:t>Records with valid coordinates</w:t>
            </w:r>
          </w:p>
        </w:tc>
        <w:tc>
          <w:tcPr>
            <w:tcW w:w="1250" w:type="pct"/>
            <w:shd w:val="clear" w:color="auto" w:fill="F2F2F2"/>
            <w:tcMar>
              <w:top w:w="80" w:type="dxa"/>
              <w:left w:w="100" w:type="dxa"/>
              <w:bottom w:w="80" w:type="dxa"/>
              <w:right w:w="100" w:type="dxa"/>
            </w:tcMar>
            <w:vAlign w:val="center"/>
          </w:tcPr>
          <w:p w14:paraId="667F7A89" w14:textId="77777777" w:rsidR="00C013AF" w:rsidRDefault="00411DCE">
            <w:pPr>
              <w:jc w:val="center"/>
            </w:pPr>
            <w:r>
              <w:rPr>
                <w:color w:val="000000"/>
              </w:rPr>
              <w:t>10,817 (100%)</w:t>
            </w:r>
          </w:p>
        </w:tc>
      </w:tr>
      <w:tr w:rsidR="00C013AF" w14:paraId="0F178642" w14:textId="77777777">
        <w:tblPrEx>
          <w:tblCellMar>
            <w:top w:w="0" w:type="dxa"/>
            <w:bottom w:w="0" w:type="dxa"/>
          </w:tblCellMar>
        </w:tblPrEx>
        <w:tc>
          <w:tcPr>
            <w:tcW w:w="1250" w:type="pct"/>
            <w:tcMar>
              <w:top w:w="80" w:type="dxa"/>
              <w:left w:w="100" w:type="dxa"/>
              <w:bottom w:w="80" w:type="dxa"/>
              <w:right w:w="100" w:type="dxa"/>
            </w:tcMar>
            <w:vAlign w:val="center"/>
          </w:tcPr>
          <w:p w14:paraId="0CBB60D5" w14:textId="77777777" w:rsidR="00C013AF" w:rsidRDefault="00411DCE">
            <w:r>
              <w:rPr>
                <w:color w:val="000000"/>
              </w:rPr>
              <w:t>Fatal collisions (severity 1)</w:t>
            </w:r>
          </w:p>
        </w:tc>
        <w:tc>
          <w:tcPr>
            <w:tcW w:w="1250" w:type="pct"/>
            <w:tcMar>
              <w:top w:w="80" w:type="dxa"/>
              <w:left w:w="100" w:type="dxa"/>
              <w:bottom w:w="80" w:type="dxa"/>
              <w:right w:w="100" w:type="dxa"/>
            </w:tcMar>
            <w:vAlign w:val="center"/>
          </w:tcPr>
          <w:p w14:paraId="0B7E8095" w14:textId="77777777" w:rsidR="00C013AF" w:rsidRDefault="00411DCE">
            <w:pPr>
              <w:jc w:val="center"/>
            </w:pPr>
            <w:r>
              <w:rPr>
                <w:color w:val="000000"/>
              </w:rPr>
              <w:t>99</w:t>
            </w:r>
          </w:p>
        </w:tc>
      </w:tr>
      <w:tr w:rsidR="00C013AF" w14:paraId="50F755FA" w14:textId="77777777">
        <w:tblPrEx>
          <w:tblCellMar>
            <w:top w:w="0" w:type="dxa"/>
            <w:bottom w:w="0" w:type="dxa"/>
          </w:tblCellMar>
        </w:tblPrEx>
        <w:tc>
          <w:tcPr>
            <w:tcW w:w="1250" w:type="pct"/>
            <w:tcMar>
              <w:top w:w="80" w:type="dxa"/>
              <w:left w:w="100" w:type="dxa"/>
              <w:bottom w:w="80" w:type="dxa"/>
              <w:right w:w="100" w:type="dxa"/>
            </w:tcMar>
            <w:vAlign w:val="center"/>
          </w:tcPr>
          <w:p w14:paraId="14865950" w14:textId="77777777" w:rsidR="00C013AF" w:rsidRDefault="00411DCE">
            <w:r>
              <w:rPr>
                <w:color w:val="000000"/>
              </w:rPr>
              <w:t>Serious collisions (severity 2)</w:t>
            </w:r>
          </w:p>
        </w:tc>
        <w:tc>
          <w:tcPr>
            <w:tcW w:w="1250" w:type="pct"/>
            <w:shd w:val="clear" w:color="auto" w:fill="F2F2F2"/>
            <w:tcMar>
              <w:top w:w="80" w:type="dxa"/>
              <w:left w:w="100" w:type="dxa"/>
              <w:bottom w:w="80" w:type="dxa"/>
              <w:right w:w="100" w:type="dxa"/>
            </w:tcMar>
            <w:vAlign w:val="center"/>
          </w:tcPr>
          <w:p w14:paraId="011D028C" w14:textId="77777777" w:rsidR="00C013AF" w:rsidRDefault="00411DCE">
            <w:pPr>
              <w:jc w:val="center"/>
            </w:pPr>
            <w:r>
              <w:rPr>
                <w:color w:val="000000"/>
              </w:rPr>
              <w:t>1,917</w:t>
            </w:r>
          </w:p>
        </w:tc>
      </w:tr>
      <w:tr w:rsidR="00C013AF" w14:paraId="15167FD1" w14:textId="77777777">
        <w:tblPrEx>
          <w:tblCellMar>
            <w:top w:w="0" w:type="dxa"/>
            <w:bottom w:w="0" w:type="dxa"/>
          </w:tblCellMar>
        </w:tblPrEx>
        <w:tc>
          <w:tcPr>
            <w:tcW w:w="1250" w:type="pct"/>
            <w:tcMar>
              <w:top w:w="80" w:type="dxa"/>
              <w:left w:w="100" w:type="dxa"/>
              <w:bottom w:w="80" w:type="dxa"/>
              <w:right w:w="100" w:type="dxa"/>
            </w:tcMar>
            <w:vAlign w:val="center"/>
          </w:tcPr>
          <w:p w14:paraId="3BAA3C9A" w14:textId="77777777" w:rsidR="00C013AF" w:rsidRDefault="00411DCE">
            <w:r>
              <w:rPr>
                <w:color w:val="000000"/>
              </w:rPr>
              <w:t>Slight collisions (severity 3)</w:t>
            </w:r>
          </w:p>
        </w:tc>
        <w:tc>
          <w:tcPr>
            <w:tcW w:w="1250" w:type="pct"/>
            <w:tcMar>
              <w:top w:w="80" w:type="dxa"/>
              <w:left w:w="100" w:type="dxa"/>
              <w:bottom w:w="80" w:type="dxa"/>
              <w:right w:w="100" w:type="dxa"/>
            </w:tcMar>
            <w:vAlign w:val="center"/>
          </w:tcPr>
          <w:p w14:paraId="0CE3AAA7" w14:textId="77777777" w:rsidR="00C013AF" w:rsidRDefault="00411DCE">
            <w:pPr>
              <w:jc w:val="center"/>
            </w:pPr>
            <w:r>
              <w:rPr>
                <w:color w:val="000000"/>
              </w:rPr>
              <w:t>8,801</w:t>
            </w:r>
          </w:p>
        </w:tc>
      </w:tr>
      <w:tr w:rsidR="00C013AF" w14:paraId="00B4EA43" w14:textId="77777777">
        <w:tblPrEx>
          <w:tblCellMar>
            <w:top w:w="0" w:type="dxa"/>
            <w:bottom w:w="0" w:type="dxa"/>
          </w:tblCellMar>
        </w:tblPrEx>
        <w:tc>
          <w:tcPr>
            <w:tcW w:w="1250" w:type="pct"/>
            <w:tcMar>
              <w:top w:w="80" w:type="dxa"/>
              <w:left w:w="100" w:type="dxa"/>
              <w:bottom w:w="80" w:type="dxa"/>
              <w:right w:w="100" w:type="dxa"/>
            </w:tcMar>
            <w:vAlign w:val="center"/>
          </w:tcPr>
          <w:p w14:paraId="1B3242C7" w14:textId="77777777" w:rsidR="00C013AF" w:rsidRDefault="00411DCE">
            <w:r>
              <w:rPr>
                <w:color w:val="000000"/>
              </w:rPr>
              <w:t>Coordinate reference system (analysis)</w:t>
            </w:r>
          </w:p>
        </w:tc>
        <w:tc>
          <w:tcPr>
            <w:tcW w:w="1250" w:type="pct"/>
            <w:shd w:val="clear" w:color="auto" w:fill="F2F2F2"/>
            <w:tcMar>
              <w:top w:w="80" w:type="dxa"/>
              <w:left w:w="100" w:type="dxa"/>
              <w:bottom w:w="80" w:type="dxa"/>
              <w:right w:w="100" w:type="dxa"/>
            </w:tcMar>
            <w:vAlign w:val="center"/>
          </w:tcPr>
          <w:p w14:paraId="72389B90" w14:textId="77777777" w:rsidR="00C013AF" w:rsidRDefault="00411DCE">
            <w:pPr>
              <w:jc w:val="center"/>
            </w:pPr>
            <w:r>
              <w:rPr>
                <w:color w:val="000000"/>
              </w:rPr>
              <w:t>EPSG:27700 (British National Grid)</w:t>
            </w:r>
          </w:p>
        </w:tc>
      </w:tr>
    </w:tbl>
    <w:p w14:paraId="78642A55" w14:textId="77777777" w:rsidR="001D44B1" w:rsidRDefault="001D44B1" w:rsidP="001D44B1"/>
    <w:p w14:paraId="0813BD8D" w14:textId="14ED8DC3" w:rsidR="00C013AF" w:rsidRDefault="00411DCE" w:rsidP="001D44B1">
      <w:r>
        <w:rPr>
          <w:b/>
          <w:bCs/>
          <w:color w:val="1F3864"/>
          <w:sz w:val="30"/>
          <w:szCs w:val="30"/>
        </w:rPr>
        <w:t>3. Methodology</w:t>
      </w:r>
    </w:p>
    <w:p w14:paraId="785B74C7" w14:textId="77777777" w:rsidR="00C013AF" w:rsidRDefault="00411DCE">
      <w:pPr>
        <w:pStyle w:val="Heading2"/>
        <w:spacing w:before="300" w:after="150"/>
      </w:pPr>
      <w:r>
        <w:rPr>
          <w:b/>
          <w:bCs/>
          <w:color w:val="1F3864"/>
          <w:sz w:val="24"/>
          <w:szCs w:val="24"/>
        </w:rPr>
        <w:t>3</w:t>
      </w:r>
      <w:r>
        <w:rPr>
          <w:b/>
          <w:bCs/>
          <w:color w:val="1F3864"/>
          <w:sz w:val="24"/>
          <w:szCs w:val="24"/>
        </w:rPr>
        <w:t>.1 Tools &amp; Environment</w:t>
      </w:r>
    </w:p>
    <w:p w14:paraId="679BFD16" w14:textId="14DF5D39" w:rsidR="00C013AF" w:rsidRDefault="00411DCE">
      <w:pPr>
        <w:pStyle w:val="ListParagraph"/>
        <w:numPr>
          <w:ilvl w:val="0"/>
          <w:numId w:val="2"/>
        </w:numPr>
        <w:spacing w:after="100" w:line="264" w:lineRule="auto"/>
      </w:pPr>
      <w:r>
        <w:rPr>
          <w:sz w:val="22"/>
          <w:szCs w:val="22"/>
        </w:rPr>
        <w:t xml:space="preserve">Python (pandas, </w:t>
      </w:r>
      <w:proofErr w:type="spellStart"/>
      <w:r>
        <w:rPr>
          <w:sz w:val="22"/>
          <w:szCs w:val="22"/>
        </w:rPr>
        <w:t>geopandas</w:t>
      </w:r>
      <w:proofErr w:type="spellEnd"/>
      <w:r>
        <w:rPr>
          <w:sz w:val="22"/>
          <w:szCs w:val="22"/>
        </w:rPr>
        <w:t xml:space="preserve">, </w:t>
      </w:r>
      <w:proofErr w:type="spellStart"/>
      <w:r>
        <w:rPr>
          <w:sz w:val="22"/>
          <w:szCs w:val="22"/>
        </w:rPr>
        <w:t>PySAL</w:t>
      </w:r>
      <w:proofErr w:type="spellEnd"/>
      <w:r>
        <w:rPr>
          <w:sz w:val="22"/>
          <w:szCs w:val="22"/>
        </w:rPr>
        <w:t xml:space="preserve"> / </w:t>
      </w:r>
      <w:proofErr w:type="spellStart"/>
      <w:r>
        <w:rPr>
          <w:sz w:val="22"/>
          <w:szCs w:val="22"/>
        </w:rPr>
        <w:t>esda</w:t>
      </w:r>
      <w:proofErr w:type="spellEnd"/>
      <w:r>
        <w:rPr>
          <w:sz w:val="22"/>
          <w:szCs w:val="22"/>
        </w:rPr>
        <w:t xml:space="preserve">, shapely) </w:t>
      </w:r>
      <w:r w:rsidR="001D44B1">
        <w:rPr>
          <w:sz w:val="22"/>
          <w:szCs w:val="22"/>
        </w:rPr>
        <w:t>-</w:t>
      </w:r>
      <w:r>
        <w:rPr>
          <w:sz w:val="22"/>
          <w:szCs w:val="22"/>
        </w:rPr>
        <w:t xml:space="preserve"> data cleaning, geocoding, and spatial statistics</w:t>
      </w:r>
    </w:p>
    <w:p w14:paraId="66492C80" w14:textId="4A192471" w:rsidR="00C013AF" w:rsidRDefault="00411DCE">
      <w:pPr>
        <w:pStyle w:val="ListParagraph"/>
        <w:numPr>
          <w:ilvl w:val="0"/>
          <w:numId w:val="2"/>
        </w:numPr>
        <w:spacing w:after="100" w:line="264" w:lineRule="auto"/>
      </w:pPr>
      <w:r>
        <w:rPr>
          <w:sz w:val="22"/>
          <w:szCs w:val="22"/>
        </w:rPr>
        <w:t xml:space="preserve">SQL (SQLite) </w:t>
      </w:r>
      <w:r w:rsidR="001D44B1">
        <w:rPr>
          <w:sz w:val="22"/>
          <w:szCs w:val="22"/>
        </w:rPr>
        <w:t>-</w:t>
      </w:r>
      <w:r>
        <w:rPr>
          <w:sz w:val="22"/>
          <w:szCs w:val="22"/>
        </w:rPr>
        <w:t xml:space="preserve"> structured storage and querying of the cleaned dataset</w:t>
      </w:r>
    </w:p>
    <w:p w14:paraId="203D1FD7" w14:textId="78109EDF" w:rsidR="00C013AF" w:rsidRDefault="00411DCE">
      <w:pPr>
        <w:pStyle w:val="ListParagraph"/>
        <w:numPr>
          <w:ilvl w:val="0"/>
          <w:numId w:val="2"/>
        </w:numPr>
        <w:spacing w:after="100" w:line="264" w:lineRule="auto"/>
      </w:pPr>
      <w:r>
        <w:rPr>
          <w:sz w:val="22"/>
          <w:szCs w:val="22"/>
        </w:rPr>
        <w:t xml:space="preserve">QGIS </w:t>
      </w:r>
      <w:r w:rsidR="001D44B1">
        <w:rPr>
          <w:sz w:val="22"/>
          <w:szCs w:val="22"/>
        </w:rPr>
        <w:t>-</w:t>
      </w:r>
      <w:r>
        <w:rPr>
          <w:sz w:val="22"/>
          <w:szCs w:val="22"/>
        </w:rPr>
        <w:t xml:space="preserve"> cartographic visualization and final map production</w:t>
      </w:r>
    </w:p>
    <w:p w14:paraId="63FB3FD0" w14:textId="481078F9" w:rsidR="00C013AF" w:rsidRDefault="00411DCE">
      <w:pPr>
        <w:pStyle w:val="ListParagraph"/>
        <w:numPr>
          <w:ilvl w:val="0"/>
          <w:numId w:val="2"/>
        </w:numPr>
        <w:spacing w:after="100" w:line="264" w:lineRule="auto"/>
      </w:pPr>
      <w:r>
        <w:rPr>
          <w:sz w:val="22"/>
          <w:szCs w:val="22"/>
        </w:rPr>
        <w:t xml:space="preserve">Microsoft Power BI </w:t>
      </w:r>
      <w:r w:rsidR="001D44B1">
        <w:rPr>
          <w:sz w:val="22"/>
          <w:szCs w:val="22"/>
        </w:rPr>
        <w:t>-</w:t>
      </w:r>
      <w:r>
        <w:rPr>
          <w:sz w:val="22"/>
          <w:szCs w:val="22"/>
        </w:rPr>
        <w:t xml:space="preserve"> inter</w:t>
      </w:r>
      <w:r>
        <w:rPr>
          <w:sz w:val="22"/>
          <w:szCs w:val="22"/>
        </w:rPr>
        <w:t>active, filterable stakeholder dashboard</w:t>
      </w:r>
    </w:p>
    <w:p w14:paraId="38CBFE0E" w14:textId="3707AD45" w:rsidR="00C013AF" w:rsidRDefault="00411DCE">
      <w:pPr>
        <w:pStyle w:val="ListParagraph"/>
        <w:numPr>
          <w:ilvl w:val="0"/>
          <w:numId w:val="2"/>
        </w:numPr>
        <w:spacing w:after="100" w:line="264" w:lineRule="auto"/>
      </w:pPr>
      <w:r>
        <w:rPr>
          <w:sz w:val="22"/>
          <w:szCs w:val="22"/>
        </w:rPr>
        <w:t xml:space="preserve">Microsoft Excel </w:t>
      </w:r>
      <w:r w:rsidR="001D44B1">
        <w:rPr>
          <w:sz w:val="22"/>
          <w:szCs w:val="22"/>
        </w:rPr>
        <w:t>-</w:t>
      </w:r>
      <w:r>
        <w:rPr>
          <w:sz w:val="22"/>
          <w:szCs w:val="22"/>
        </w:rPr>
        <w:t xml:space="preserve"> exploratory summary checks throughout the pipeline</w:t>
      </w:r>
    </w:p>
    <w:p w14:paraId="04DE43B8" w14:textId="77777777" w:rsidR="00C013AF" w:rsidRDefault="00411DCE">
      <w:pPr>
        <w:pStyle w:val="Heading2"/>
        <w:spacing w:before="300" w:after="150"/>
      </w:pPr>
      <w:r>
        <w:rPr>
          <w:b/>
          <w:bCs/>
          <w:color w:val="1F3864"/>
          <w:sz w:val="24"/>
          <w:szCs w:val="24"/>
        </w:rPr>
        <w:t>3.2 Data Preparation</w:t>
      </w:r>
    </w:p>
    <w:p w14:paraId="5DD89B25" w14:textId="6ED1386A" w:rsidR="00C013AF" w:rsidRDefault="00411DCE">
      <w:pPr>
        <w:spacing w:after="180" w:line="276" w:lineRule="auto"/>
        <w:jc w:val="both"/>
      </w:pPr>
      <w:r>
        <w:rPr>
          <w:sz w:val="22"/>
          <w:szCs w:val="22"/>
        </w:rPr>
        <w:t>Raw STATS19 collision records were filtered to Birmingham (ONS code E08000025) and the 2020</w:t>
      </w:r>
      <w:r w:rsidR="001D44B1">
        <w:rPr>
          <w:sz w:val="22"/>
          <w:szCs w:val="22"/>
        </w:rPr>
        <w:t xml:space="preserve"> - </w:t>
      </w:r>
      <w:r>
        <w:rPr>
          <w:sz w:val="22"/>
          <w:szCs w:val="22"/>
        </w:rPr>
        <w:t>2024 window using pandas. Records</w:t>
      </w:r>
      <w:r>
        <w:rPr>
          <w:sz w:val="22"/>
          <w:szCs w:val="22"/>
        </w:rPr>
        <w:t xml:space="preserve"> were converted to point geometries from latitude/longitude, then reprojected to the British National Grid (EPSG:27700) to enable accurate, distance-based spatial analysis in metres rather than decimal degrees.</w:t>
      </w:r>
    </w:p>
    <w:p w14:paraId="59C4C836" w14:textId="77777777" w:rsidR="00C013AF" w:rsidRDefault="00411DCE">
      <w:pPr>
        <w:pStyle w:val="Heading2"/>
        <w:spacing w:before="300" w:after="150"/>
      </w:pPr>
      <w:r>
        <w:rPr>
          <w:b/>
          <w:bCs/>
          <w:color w:val="1F3864"/>
          <w:sz w:val="24"/>
          <w:szCs w:val="24"/>
        </w:rPr>
        <w:t>3.3 Grid Aggregation</w:t>
      </w:r>
    </w:p>
    <w:p w14:paraId="6D419D6D" w14:textId="48331EB4" w:rsidR="00C013AF" w:rsidRDefault="00411DCE">
      <w:pPr>
        <w:spacing w:after="180" w:line="276" w:lineRule="auto"/>
        <w:jc w:val="both"/>
      </w:pPr>
      <w:r>
        <w:rPr>
          <w:sz w:val="22"/>
          <w:szCs w:val="22"/>
        </w:rPr>
        <w:t>Rather than running spat</w:t>
      </w:r>
      <w:r>
        <w:rPr>
          <w:sz w:val="22"/>
          <w:szCs w:val="22"/>
        </w:rPr>
        <w:t>ial statistics directly on raw point locations</w:t>
      </w:r>
      <w:r w:rsidR="001D44B1">
        <w:rPr>
          <w:sz w:val="22"/>
          <w:szCs w:val="22"/>
        </w:rPr>
        <w:t xml:space="preserve">, </w:t>
      </w:r>
      <w:r>
        <w:rPr>
          <w:sz w:val="22"/>
          <w:szCs w:val="22"/>
        </w:rPr>
        <w:t>which can produce unstable results at high point density</w:t>
      </w:r>
      <w:r w:rsidR="001D44B1">
        <w:rPr>
          <w:sz w:val="22"/>
          <w:szCs w:val="22"/>
        </w:rPr>
        <w:t>,</w:t>
      </w:r>
      <w:r>
        <w:rPr>
          <w:sz w:val="22"/>
          <w:szCs w:val="22"/>
        </w:rPr>
        <w:t xml:space="preserve"> crash points were aggregated onto a regular 500-metre × 500-metre grid covering the full extent of the study area, producing 1,911 grid cells. Each </w:t>
      </w:r>
      <w:r>
        <w:rPr>
          <w:sz w:val="22"/>
          <w:szCs w:val="22"/>
        </w:rPr>
        <w:t>cell was assigned a crash count via spatial join. A 500m cell size was selected as a balance between spatial resolution and statistical stability</w:t>
      </w:r>
      <w:r w:rsidR="001D44B1">
        <w:rPr>
          <w:sz w:val="22"/>
          <w:szCs w:val="22"/>
        </w:rPr>
        <w:t>.</w:t>
      </w:r>
      <w:r>
        <w:rPr>
          <w:sz w:val="22"/>
          <w:szCs w:val="22"/>
        </w:rPr>
        <w:t xml:space="preserve"> </w:t>
      </w:r>
      <w:r w:rsidR="001D44B1">
        <w:rPr>
          <w:sz w:val="22"/>
          <w:szCs w:val="22"/>
        </w:rPr>
        <w:t xml:space="preserve">This was considered to be </w:t>
      </w:r>
      <w:r>
        <w:rPr>
          <w:sz w:val="22"/>
          <w:szCs w:val="22"/>
        </w:rPr>
        <w:t>fine enough to distinguish specific corridors and junctions, coarse enough to avoid excessive empty-cell nois</w:t>
      </w:r>
      <w:r>
        <w:rPr>
          <w:sz w:val="22"/>
          <w:szCs w:val="22"/>
        </w:rPr>
        <w:t>e.</w:t>
      </w:r>
    </w:p>
    <w:p w14:paraId="09414853" w14:textId="33DF7ECF" w:rsidR="00C013AF" w:rsidRDefault="00411DCE">
      <w:pPr>
        <w:pStyle w:val="Heading2"/>
        <w:spacing w:before="300" w:after="150"/>
      </w:pPr>
      <w:r>
        <w:rPr>
          <w:b/>
          <w:bCs/>
          <w:color w:val="1F3864"/>
          <w:sz w:val="24"/>
          <w:szCs w:val="24"/>
        </w:rPr>
        <w:t xml:space="preserve">3.4 Global Spatial Autocorrelation </w:t>
      </w:r>
      <w:r w:rsidR="001D44B1">
        <w:rPr>
          <w:b/>
          <w:bCs/>
          <w:color w:val="1F3864"/>
          <w:sz w:val="24"/>
          <w:szCs w:val="24"/>
        </w:rPr>
        <w:t>-</w:t>
      </w:r>
      <w:r>
        <w:rPr>
          <w:b/>
          <w:bCs/>
          <w:color w:val="1F3864"/>
          <w:sz w:val="24"/>
          <w:szCs w:val="24"/>
        </w:rPr>
        <w:t xml:space="preserve"> Moran's I</w:t>
      </w:r>
    </w:p>
    <w:p w14:paraId="28805705" w14:textId="7C0EB462" w:rsidR="00C013AF" w:rsidRDefault="00411DCE">
      <w:pPr>
        <w:spacing w:after="180" w:line="276" w:lineRule="auto"/>
        <w:jc w:val="both"/>
      </w:pPr>
      <w:r>
        <w:rPr>
          <w:sz w:val="22"/>
          <w:szCs w:val="22"/>
        </w:rPr>
        <w:t xml:space="preserve">Before proceeding to local hotspot detection, Moran's I was calculated across the full grid </w:t>
      </w:r>
      <w:r>
        <w:rPr>
          <w:sz w:val="22"/>
          <w:szCs w:val="22"/>
        </w:rPr>
        <w:t>using Queen contiguity spatial weights</w:t>
      </w:r>
      <w:r>
        <w:rPr>
          <w:sz w:val="22"/>
          <w:szCs w:val="22"/>
        </w:rPr>
        <w:t xml:space="preserve"> to test whether crash counts exhibit genuine spatial clustering, as oppos</w:t>
      </w:r>
      <w:r>
        <w:rPr>
          <w:sz w:val="22"/>
          <w:szCs w:val="22"/>
        </w:rPr>
        <w:t xml:space="preserve">ed to a </w:t>
      </w:r>
      <w:r>
        <w:rPr>
          <w:sz w:val="22"/>
          <w:szCs w:val="22"/>
        </w:rPr>
        <w:lastRenderedPageBreak/>
        <w:t>random spatial pattern that would make hotspot analysis meaningless. A statistically significant, strongly positive Moran's I value confirm</w:t>
      </w:r>
      <w:r w:rsidR="001D44B1">
        <w:rPr>
          <w:sz w:val="22"/>
          <w:szCs w:val="22"/>
        </w:rPr>
        <w:t>ed</w:t>
      </w:r>
      <w:r>
        <w:rPr>
          <w:sz w:val="22"/>
          <w:szCs w:val="22"/>
        </w:rPr>
        <w:t xml:space="preserve"> that hotspot analysis is a valid method for this dataset.</w:t>
      </w:r>
    </w:p>
    <w:p w14:paraId="5E971D80" w14:textId="1D6A45C2" w:rsidR="00C013AF" w:rsidRDefault="00411DCE" w:rsidP="00186BE1">
      <w:pPr>
        <w:pStyle w:val="Heading2"/>
        <w:spacing w:before="240" w:after="150"/>
      </w:pPr>
      <w:r>
        <w:rPr>
          <w:b/>
          <w:bCs/>
          <w:color w:val="1F3864"/>
          <w:sz w:val="24"/>
          <w:szCs w:val="24"/>
        </w:rPr>
        <w:t xml:space="preserve">3.5 Local Hotspot Detection </w:t>
      </w:r>
      <w:r w:rsidR="001D44B1">
        <w:rPr>
          <w:b/>
          <w:bCs/>
          <w:color w:val="1F3864"/>
          <w:sz w:val="24"/>
          <w:szCs w:val="24"/>
        </w:rPr>
        <w:t>-</w:t>
      </w:r>
      <w:r>
        <w:rPr>
          <w:b/>
          <w:bCs/>
          <w:color w:val="1F3864"/>
          <w:sz w:val="24"/>
          <w:szCs w:val="24"/>
        </w:rPr>
        <w:t xml:space="preserve"> </w:t>
      </w:r>
      <w:proofErr w:type="spellStart"/>
      <w:r>
        <w:rPr>
          <w:b/>
          <w:bCs/>
          <w:color w:val="1F3864"/>
          <w:sz w:val="24"/>
          <w:szCs w:val="24"/>
        </w:rPr>
        <w:t>Getis</w:t>
      </w:r>
      <w:proofErr w:type="spellEnd"/>
      <w:r>
        <w:rPr>
          <w:b/>
          <w:bCs/>
          <w:color w:val="1F3864"/>
          <w:sz w:val="24"/>
          <w:szCs w:val="24"/>
        </w:rPr>
        <w:t>-Ord Gi*</w:t>
      </w:r>
    </w:p>
    <w:p w14:paraId="6653AAAA" w14:textId="6483C4A6" w:rsidR="00C013AF" w:rsidRDefault="00411DCE">
      <w:pPr>
        <w:spacing w:after="180" w:line="276" w:lineRule="auto"/>
        <w:jc w:val="both"/>
      </w:pPr>
      <w:r>
        <w:rPr>
          <w:sz w:val="22"/>
          <w:szCs w:val="22"/>
        </w:rPr>
        <w:t xml:space="preserve">The </w:t>
      </w:r>
      <w:proofErr w:type="spellStart"/>
      <w:r>
        <w:rPr>
          <w:sz w:val="22"/>
          <w:szCs w:val="22"/>
        </w:rPr>
        <w:t>G</w:t>
      </w:r>
      <w:r>
        <w:rPr>
          <w:sz w:val="22"/>
          <w:szCs w:val="22"/>
        </w:rPr>
        <w:t>etis</w:t>
      </w:r>
      <w:proofErr w:type="spellEnd"/>
      <w:r>
        <w:rPr>
          <w:sz w:val="22"/>
          <w:szCs w:val="22"/>
        </w:rPr>
        <w:t>-Ord Gi* statistic was applied to identify which specific grid cells constitute statistically significant hot (or cold) spots, as distinct from cells that are simply part of the general background pattern. Each cell was classified into a confidence tie</w:t>
      </w:r>
      <w:r>
        <w:rPr>
          <w:sz w:val="22"/>
          <w:szCs w:val="22"/>
        </w:rPr>
        <w:t xml:space="preserve">r </w:t>
      </w:r>
      <w:r>
        <w:rPr>
          <w:sz w:val="22"/>
          <w:szCs w:val="22"/>
        </w:rPr>
        <w:t>90%, 95%, or 99%</w:t>
      </w:r>
      <w:r>
        <w:rPr>
          <w:sz w:val="22"/>
          <w:szCs w:val="22"/>
        </w:rPr>
        <w:t xml:space="preserve"> based on its z-score and simulated p-value, following standard convention (z &gt; 1.65/1.96/2.58 respectively, with corresponding p-value thresholds).</w:t>
      </w:r>
    </w:p>
    <w:p w14:paraId="32C71C91" w14:textId="77777777" w:rsidR="00C013AF" w:rsidRDefault="00411DCE" w:rsidP="00186BE1">
      <w:pPr>
        <w:pStyle w:val="Heading2"/>
        <w:spacing w:before="240" w:after="150"/>
      </w:pPr>
      <w:r>
        <w:rPr>
          <w:b/>
          <w:bCs/>
          <w:color w:val="1F3864"/>
          <w:sz w:val="24"/>
          <w:szCs w:val="24"/>
        </w:rPr>
        <w:t>3.6 Site-Level Verification</w:t>
      </w:r>
    </w:p>
    <w:p w14:paraId="3D76E87E" w14:textId="77777777" w:rsidR="001D44B1" w:rsidRDefault="00411DCE" w:rsidP="001D44B1">
      <w:pPr>
        <w:spacing w:after="180" w:line="276" w:lineRule="auto"/>
        <w:jc w:val="both"/>
      </w:pPr>
      <w:r>
        <w:rPr>
          <w:sz w:val="22"/>
          <w:szCs w:val="22"/>
        </w:rPr>
        <w:t>The five grid cells with the highest Gi* z-scores were co</w:t>
      </w:r>
      <w:r>
        <w:rPr>
          <w:sz w:val="22"/>
          <w:szCs w:val="22"/>
        </w:rPr>
        <w:t>nverted back to real-world latitude/longitude coordinates and reviewed individually using satellite and street-level imagery, to ground the statistical output in actual road geometry, land use, and local context</w:t>
      </w:r>
      <w:r w:rsidR="001D44B1">
        <w:rPr>
          <w:sz w:val="22"/>
          <w:szCs w:val="22"/>
        </w:rPr>
        <w:t>. This was</w:t>
      </w:r>
      <w:r>
        <w:rPr>
          <w:sz w:val="22"/>
          <w:szCs w:val="22"/>
        </w:rPr>
        <w:t xml:space="preserve"> a</w:t>
      </w:r>
      <w:r w:rsidR="001D44B1">
        <w:rPr>
          <w:sz w:val="22"/>
          <w:szCs w:val="22"/>
        </w:rPr>
        <w:t>n</w:t>
      </w:r>
      <w:r w:rsidR="001D44B1" w:rsidRPr="001D44B1">
        <w:rPr>
          <w:sz w:val="22"/>
          <w:szCs w:val="22"/>
        </w:rPr>
        <w:t xml:space="preserve"> </w:t>
      </w:r>
      <w:r w:rsidR="001D44B1">
        <w:rPr>
          <w:sz w:val="22"/>
          <w:szCs w:val="22"/>
        </w:rPr>
        <w:t>essential</w:t>
      </w:r>
      <w:r>
        <w:rPr>
          <w:sz w:val="22"/>
          <w:szCs w:val="22"/>
        </w:rPr>
        <w:t xml:space="preserve"> step </w:t>
      </w:r>
      <w:r>
        <w:rPr>
          <w:sz w:val="22"/>
          <w:szCs w:val="22"/>
        </w:rPr>
        <w:t>to converting a statistic</w:t>
      </w:r>
      <w:r>
        <w:rPr>
          <w:sz w:val="22"/>
          <w:szCs w:val="22"/>
        </w:rPr>
        <w:t>al finding into an actionable engineering recommendation.</w:t>
      </w:r>
    </w:p>
    <w:p w14:paraId="08C45273" w14:textId="321DD4BB" w:rsidR="00C013AF" w:rsidRDefault="00411DCE" w:rsidP="001D44B1">
      <w:pPr>
        <w:spacing w:after="180" w:line="276" w:lineRule="auto"/>
        <w:jc w:val="both"/>
      </w:pPr>
      <w:r>
        <w:rPr>
          <w:b/>
          <w:bCs/>
          <w:color w:val="1F3864"/>
          <w:sz w:val="30"/>
          <w:szCs w:val="30"/>
        </w:rPr>
        <w:t>4. Findings</w:t>
      </w:r>
    </w:p>
    <w:p w14:paraId="6E9BBCEC" w14:textId="77777777" w:rsidR="00C013AF" w:rsidRDefault="00411DCE">
      <w:pPr>
        <w:pStyle w:val="Heading2"/>
        <w:spacing w:before="300" w:after="150"/>
      </w:pPr>
      <w:r>
        <w:rPr>
          <w:b/>
          <w:bCs/>
          <w:color w:val="1F3864"/>
          <w:sz w:val="24"/>
          <w:szCs w:val="24"/>
        </w:rPr>
        <w:t>4</w:t>
      </w:r>
      <w:r>
        <w:rPr>
          <w:b/>
          <w:bCs/>
          <w:color w:val="1F3864"/>
          <w:sz w:val="24"/>
          <w:szCs w:val="24"/>
        </w:rPr>
        <w:t>.1 Headline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C013AF" w14:paraId="2DD331A2" w14:textId="77777777" w:rsidTr="001D44B1">
        <w:tblPrEx>
          <w:tblCellMar>
            <w:top w:w="0" w:type="dxa"/>
            <w:bottom w:w="0" w:type="dxa"/>
          </w:tblCellMar>
        </w:tblPrEx>
        <w:trPr>
          <w:trHeight w:val="548"/>
        </w:trPr>
        <w:tc>
          <w:tcPr>
            <w:tcW w:w="1250" w:type="pct"/>
            <w:shd w:val="clear" w:color="auto" w:fill="F2F2F2"/>
            <w:tcMar>
              <w:top w:w="150" w:type="dxa"/>
              <w:left w:w="100" w:type="dxa"/>
              <w:bottom w:w="150" w:type="dxa"/>
              <w:right w:w="100" w:type="dxa"/>
            </w:tcMar>
            <w:vAlign w:val="center"/>
          </w:tcPr>
          <w:p w14:paraId="67AB9DF2" w14:textId="77777777" w:rsidR="00C013AF" w:rsidRDefault="00411DCE">
            <w:pPr>
              <w:jc w:val="center"/>
            </w:pPr>
            <w:r>
              <w:rPr>
                <w:b/>
                <w:bCs/>
                <w:color w:val="1F3864"/>
                <w:sz w:val="30"/>
                <w:szCs w:val="30"/>
              </w:rPr>
              <w:t>10,817</w:t>
            </w:r>
          </w:p>
          <w:p w14:paraId="3DD742A0" w14:textId="77777777" w:rsidR="00C013AF" w:rsidRDefault="00411DCE">
            <w:pPr>
              <w:spacing w:before="60"/>
              <w:jc w:val="center"/>
            </w:pPr>
            <w:r>
              <w:rPr>
                <w:color w:val="595959"/>
                <w:sz w:val="17"/>
                <w:szCs w:val="17"/>
              </w:rPr>
              <w:t>Total Collisions</w:t>
            </w:r>
          </w:p>
        </w:tc>
        <w:tc>
          <w:tcPr>
            <w:tcW w:w="1250" w:type="pct"/>
            <w:shd w:val="clear" w:color="auto" w:fill="F2F2F2"/>
            <w:tcMar>
              <w:top w:w="150" w:type="dxa"/>
              <w:left w:w="100" w:type="dxa"/>
              <w:bottom w:w="150" w:type="dxa"/>
              <w:right w:w="100" w:type="dxa"/>
            </w:tcMar>
            <w:vAlign w:val="center"/>
          </w:tcPr>
          <w:p w14:paraId="0623DBAE" w14:textId="77777777" w:rsidR="00C013AF" w:rsidRDefault="00411DCE">
            <w:pPr>
              <w:jc w:val="center"/>
            </w:pPr>
            <w:r>
              <w:rPr>
                <w:b/>
                <w:bCs/>
                <w:color w:val="1F3864"/>
                <w:sz w:val="30"/>
                <w:szCs w:val="30"/>
              </w:rPr>
              <w:t>0.56</w:t>
            </w:r>
          </w:p>
          <w:p w14:paraId="28AF56BD" w14:textId="77777777" w:rsidR="00C013AF" w:rsidRDefault="00411DCE">
            <w:pPr>
              <w:spacing w:before="60"/>
              <w:jc w:val="center"/>
            </w:pPr>
            <w:r>
              <w:rPr>
                <w:color w:val="595959"/>
                <w:sz w:val="17"/>
                <w:szCs w:val="17"/>
              </w:rPr>
              <w:t>Moran's I</w:t>
            </w:r>
          </w:p>
        </w:tc>
        <w:tc>
          <w:tcPr>
            <w:tcW w:w="1250" w:type="pct"/>
            <w:shd w:val="clear" w:color="auto" w:fill="F2F2F2"/>
            <w:tcMar>
              <w:top w:w="150" w:type="dxa"/>
              <w:left w:w="100" w:type="dxa"/>
              <w:bottom w:w="150" w:type="dxa"/>
              <w:right w:w="100" w:type="dxa"/>
            </w:tcMar>
            <w:vAlign w:val="center"/>
          </w:tcPr>
          <w:p w14:paraId="699F50CC" w14:textId="77777777" w:rsidR="00C013AF" w:rsidRDefault="00411DCE">
            <w:pPr>
              <w:jc w:val="center"/>
            </w:pPr>
            <w:r>
              <w:rPr>
                <w:b/>
                <w:bCs/>
                <w:color w:val="1F3864"/>
                <w:sz w:val="30"/>
                <w:szCs w:val="30"/>
              </w:rPr>
              <w:t>105</w:t>
            </w:r>
          </w:p>
          <w:p w14:paraId="1FEB8E88" w14:textId="77777777" w:rsidR="00C013AF" w:rsidRDefault="00411DCE">
            <w:pPr>
              <w:spacing w:before="60"/>
              <w:jc w:val="center"/>
            </w:pPr>
            <w:r>
              <w:rPr>
                <w:color w:val="595959"/>
                <w:sz w:val="17"/>
                <w:szCs w:val="17"/>
              </w:rPr>
              <w:t>Significant Hotspot Cells</w:t>
            </w:r>
          </w:p>
        </w:tc>
        <w:tc>
          <w:tcPr>
            <w:tcW w:w="1250" w:type="pct"/>
            <w:shd w:val="clear" w:color="auto" w:fill="F2F2F2"/>
            <w:tcMar>
              <w:top w:w="150" w:type="dxa"/>
              <w:left w:w="100" w:type="dxa"/>
              <w:bottom w:w="150" w:type="dxa"/>
              <w:right w:w="100" w:type="dxa"/>
            </w:tcMar>
            <w:vAlign w:val="center"/>
          </w:tcPr>
          <w:p w14:paraId="2AC7CAE1" w14:textId="77777777" w:rsidR="00C013AF" w:rsidRDefault="00411DCE">
            <w:pPr>
              <w:jc w:val="center"/>
            </w:pPr>
            <w:r>
              <w:rPr>
                <w:b/>
                <w:bCs/>
                <w:color w:val="1F3864"/>
                <w:sz w:val="30"/>
                <w:szCs w:val="30"/>
              </w:rPr>
              <w:t>~35%</w:t>
            </w:r>
          </w:p>
          <w:p w14:paraId="4DBEDA8D" w14:textId="77777777" w:rsidR="00C013AF" w:rsidRDefault="00411DCE">
            <w:pPr>
              <w:spacing w:before="60"/>
              <w:jc w:val="center"/>
            </w:pPr>
            <w:r>
              <w:rPr>
                <w:color w:val="595959"/>
                <w:sz w:val="17"/>
                <w:szCs w:val="17"/>
              </w:rPr>
              <w:t>Share of Crashes in Hotspots</w:t>
            </w:r>
          </w:p>
        </w:tc>
      </w:tr>
    </w:tbl>
    <w:p w14:paraId="6E9EF9C4" w14:textId="77777777" w:rsidR="00C013AF" w:rsidRDefault="00411DCE">
      <w:pPr>
        <w:pStyle w:val="Heading2"/>
        <w:spacing w:before="300" w:after="150"/>
      </w:pPr>
      <w:r>
        <w:rPr>
          <w:b/>
          <w:bCs/>
          <w:color w:val="1F3864"/>
          <w:sz w:val="24"/>
          <w:szCs w:val="24"/>
        </w:rPr>
        <w:t>4.2 Global Clustering Is Confirmed</w:t>
      </w:r>
    </w:p>
    <w:p w14:paraId="63E0B948" w14:textId="5E4F299A" w:rsidR="00C013AF" w:rsidRDefault="00411DCE">
      <w:pPr>
        <w:spacing w:after="180" w:line="276" w:lineRule="auto"/>
        <w:jc w:val="both"/>
      </w:pPr>
      <w:proofErr w:type="gramStart"/>
      <w:r>
        <w:rPr>
          <w:sz w:val="22"/>
          <w:szCs w:val="22"/>
        </w:rPr>
        <w:t>Moran's</w:t>
      </w:r>
      <w:proofErr w:type="gramEnd"/>
      <w:r>
        <w:rPr>
          <w:sz w:val="22"/>
          <w:szCs w:val="22"/>
        </w:rPr>
        <w:t xml:space="preserve"> I returned a value of 0.56 against an expected value of approximately 0 under complete spatial randomness, with a z-score of 49.6 and a simulated p-value of 0.001. </w:t>
      </w:r>
      <w:r>
        <w:rPr>
          <w:sz w:val="22"/>
          <w:szCs w:val="22"/>
        </w:rPr>
        <w:t>Birmingham's crash</w:t>
      </w:r>
      <w:r>
        <w:rPr>
          <w:sz w:val="22"/>
          <w:szCs w:val="22"/>
        </w:rPr>
        <w:t xml:space="preserve">es are strongly and significantly spatially clustered, not randomly distributed across the city. In plain </w:t>
      </w:r>
      <w:proofErr w:type="gramStart"/>
      <w:r>
        <w:rPr>
          <w:sz w:val="22"/>
          <w:szCs w:val="22"/>
        </w:rPr>
        <w:t>terms</w:t>
      </w:r>
      <w:r w:rsidR="00186BE1">
        <w:rPr>
          <w:sz w:val="22"/>
          <w:szCs w:val="22"/>
        </w:rPr>
        <w:t xml:space="preserve">, </w:t>
      </w:r>
      <w:r>
        <w:rPr>
          <w:sz w:val="22"/>
          <w:szCs w:val="22"/>
        </w:rPr>
        <w:t xml:space="preserve"> a</w:t>
      </w:r>
      <w:proofErr w:type="gramEnd"/>
      <w:r>
        <w:rPr>
          <w:sz w:val="22"/>
          <w:szCs w:val="22"/>
        </w:rPr>
        <w:t xml:space="preserve"> small number of locations experience a disproportionate concentration of collisions, and this pattern is far too strong to be attributable t</w:t>
      </w:r>
      <w:r>
        <w:rPr>
          <w:sz w:val="22"/>
          <w:szCs w:val="22"/>
        </w:rPr>
        <w:t>o chance. This finding is the statistical justification for proceeding to local hotspot detection.</w:t>
      </w:r>
    </w:p>
    <w:p w14:paraId="3F30DA58" w14:textId="77777777" w:rsidR="00C013AF" w:rsidRDefault="00411DCE" w:rsidP="00186BE1">
      <w:pPr>
        <w:pStyle w:val="Heading2"/>
        <w:spacing w:before="240" w:after="150"/>
      </w:pPr>
      <w:r>
        <w:rPr>
          <w:b/>
          <w:bCs/>
          <w:color w:val="1F3864"/>
          <w:sz w:val="24"/>
          <w:szCs w:val="24"/>
        </w:rPr>
        <w:t>4.3 Local Hotspots Identified</w:t>
      </w:r>
    </w:p>
    <w:p w14:paraId="50353DFB" w14:textId="77777777" w:rsidR="00C013AF" w:rsidRDefault="00411DCE">
      <w:pPr>
        <w:spacing w:after="180" w:line="276" w:lineRule="auto"/>
        <w:jc w:val="both"/>
      </w:pPr>
      <w:proofErr w:type="spellStart"/>
      <w:r>
        <w:rPr>
          <w:sz w:val="22"/>
          <w:szCs w:val="22"/>
        </w:rPr>
        <w:t>Getis</w:t>
      </w:r>
      <w:proofErr w:type="spellEnd"/>
      <w:r>
        <w:rPr>
          <w:sz w:val="22"/>
          <w:szCs w:val="22"/>
        </w:rPr>
        <w:t>-Ord Gi* analysis classified 105 of the 1,911 grid cells (5.5% of the study area) as statistically significant hotspots, distributed across three confidence tiers as shown below. No statistically significant cold spots were identified, which is a comm</w:t>
      </w:r>
      <w:r>
        <w:rPr>
          <w:sz w:val="22"/>
          <w:szCs w:val="22"/>
        </w:rPr>
        <w:t>on and expected result in urban collision datasets of this density.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2338"/>
        <w:gridCol w:w="1870"/>
      </w:tblGrid>
      <w:tr w:rsidR="00C013AF" w14:paraId="1072D166" w14:textId="77777777">
        <w:tblPrEx>
          <w:tblCellMar>
            <w:top w:w="0" w:type="dxa"/>
            <w:bottom w:w="0" w:type="dxa"/>
          </w:tblCellMar>
        </w:tblPrEx>
        <w:tc>
          <w:tcPr>
            <w:tcW w:w="2750" w:type="pct"/>
            <w:shd w:val="clear" w:color="auto" w:fill="1F3864"/>
            <w:tcMar>
              <w:top w:w="80" w:type="dxa"/>
              <w:left w:w="100" w:type="dxa"/>
              <w:bottom w:w="80" w:type="dxa"/>
              <w:right w:w="100" w:type="dxa"/>
            </w:tcMar>
            <w:vAlign w:val="center"/>
          </w:tcPr>
          <w:p w14:paraId="2597A21F" w14:textId="77777777" w:rsidR="00C013AF" w:rsidRDefault="00411DCE">
            <w:r>
              <w:rPr>
                <w:b/>
                <w:bCs/>
                <w:color w:val="FFFFFF"/>
              </w:rPr>
              <w:t>Classification</w:t>
            </w:r>
          </w:p>
        </w:tc>
        <w:tc>
          <w:tcPr>
            <w:tcW w:w="1100" w:type="pct"/>
            <w:shd w:val="clear" w:color="auto" w:fill="1F3864"/>
            <w:tcMar>
              <w:top w:w="80" w:type="dxa"/>
              <w:left w:w="100" w:type="dxa"/>
              <w:bottom w:w="80" w:type="dxa"/>
              <w:right w:w="100" w:type="dxa"/>
            </w:tcMar>
            <w:vAlign w:val="center"/>
          </w:tcPr>
          <w:p w14:paraId="4533543B" w14:textId="77777777" w:rsidR="00C013AF" w:rsidRDefault="00411DCE">
            <w:pPr>
              <w:jc w:val="center"/>
            </w:pPr>
            <w:r>
              <w:rPr>
                <w:b/>
                <w:bCs/>
                <w:color w:val="FFFFFF"/>
              </w:rPr>
              <w:t>Cell Count</w:t>
            </w:r>
          </w:p>
        </w:tc>
        <w:tc>
          <w:tcPr>
            <w:tcW w:w="1100" w:type="pct"/>
            <w:shd w:val="clear" w:color="auto" w:fill="1F3864"/>
            <w:tcMar>
              <w:top w:w="80" w:type="dxa"/>
              <w:left w:w="100" w:type="dxa"/>
              <w:bottom w:w="80" w:type="dxa"/>
              <w:right w:w="100" w:type="dxa"/>
            </w:tcMar>
            <w:vAlign w:val="center"/>
          </w:tcPr>
          <w:p w14:paraId="5D333486" w14:textId="77777777" w:rsidR="00C013AF" w:rsidRDefault="00411DCE">
            <w:pPr>
              <w:jc w:val="center"/>
            </w:pPr>
            <w:r>
              <w:rPr>
                <w:b/>
                <w:bCs/>
                <w:color w:val="FFFFFF"/>
              </w:rPr>
              <w:t xml:space="preserve">% </w:t>
            </w:r>
            <w:proofErr w:type="gramStart"/>
            <w:r>
              <w:rPr>
                <w:b/>
                <w:bCs/>
                <w:color w:val="FFFFFF"/>
              </w:rPr>
              <w:t>of</w:t>
            </w:r>
            <w:proofErr w:type="gramEnd"/>
            <w:r>
              <w:rPr>
                <w:b/>
                <w:bCs/>
                <w:color w:val="FFFFFF"/>
              </w:rPr>
              <w:t xml:space="preserve"> Grid</w:t>
            </w:r>
          </w:p>
        </w:tc>
      </w:tr>
      <w:tr w:rsidR="00C013AF" w14:paraId="687911BE" w14:textId="77777777">
        <w:tblPrEx>
          <w:tblCellMar>
            <w:top w:w="0" w:type="dxa"/>
            <w:bottom w:w="0" w:type="dxa"/>
          </w:tblCellMar>
        </w:tblPrEx>
        <w:tc>
          <w:tcPr>
            <w:tcW w:w="1250" w:type="pct"/>
            <w:tcMar>
              <w:top w:w="80" w:type="dxa"/>
              <w:left w:w="100" w:type="dxa"/>
              <w:bottom w:w="80" w:type="dxa"/>
              <w:right w:w="100" w:type="dxa"/>
            </w:tcMar>
            <w:vAlign w:val="center"/>
          </w:tcPr>
          <w:p w14:paraId="1FD7EBEE" w14:textId="77777777" w:rsidR="00C013AF" w:rsidRDefault="00411DCE">
            <w:r>
              <w:rPr>
                <w:color w:val="000000"/>
              </w:rPr>
              <w:t>Hot Spot — 99% confidence</w:t>
            </w:r>
          </w:p>
        </w:tc>
        <w:tc>
          <w:tcPr>
            <w:tcW w:w="1250" w:type="pct"/>
            <w:tcMar>
              <w:top w:w="80" w:type="dxa"/>
              <w:left w:w="100" w:type="dxa"/>
              <w:bottom w:w="80" w:type="dxa"/>
              <w:right w:w="100" w:type="dxa"/>
            </w:tcMar>
            <w:vAlign w:val="center"/>
          </w:tcPr>
          <w:p w14:paraId="3982D3F1" w14:textId="77777777" w:rsidR="00C013AF" w:rsidRDefault="00411DCE">
            <w:pPr>
              <w:jc w:val="center"/>
            </w:pPr>
            <w:r>
              <w:rPr>
                <w:color w:val="000000"/>
              </w:rPr>
              <w:t>36</w:t>
            </w:r>
          </w:p>
        </w:tc>
        <w:tc>
          <w:tcPr>
            <w:tcW w:w="1250" w:type="pct"/>
            <w:tcMar>
              <w:top w:w="80" w:type="dxa"/>
              <w:left w:w="100" w:type="dxa"/>
              <w:bottom w:w="80" w:type="dxa"/>
              <w:right w:w="100" w:type="dxa"/>
            </w:tcMar>
            <w:vAlign w:val="center"/>
          </w:tcPr>
          <w:p w14:paraId="6B098D27" w14:textId="77777777" w:rsidR="00C013AF" w:rsidRDefault="00411DCE">
            <w:pPr>
              <w:jc w:val="center"/>
            </w:pPr>
            <w:r>
              <w:rPr>
                <w:color w:val="000000"/>
              </w:rPr>
              <w:t>1.9%</w:t>
            </w:r>
          </w:p>
        </w:tc>
      </w:tr>
      <w:tr w:rsidR="00C013AF" w14:paraId="05ACEB1B" w14:textId="77777777">
        <w:tblPrEx>
          <w:tblCellMar>
            <w:top w:w="0" w:type="dxa"/>
            <w:bottom w:w="0" w:type="dxa"/>
          </w:tblCellMar>
        </w:tblPrEx>
        <w:tc>
          <w:tcPr>
            <w:tcW w:w="1250" w:type="pct"/>
            <w:tcMar>
              <w:top w:w="80" w:type="dxa"/>
              <w:left w:w="100" w:type="dxa"/>
              <w:bottom w:w="80" w:type="dxa"/>
              <w:right w:w="100" w:type="dxa"/>
            </w:tcMar>
            <w:vAlign w:val="center"/>
          </w:tcPr>
          <w:p w14:paraId="07AA9A8A" w14:textId="77777777" w:rsidR="00C013AF" w:rsidRDefault="00411DCE">
            <w:r>
              <w:rPr>
                <w:color w:val="000000"/>
              </w:rPr>
              <w:t>Hot Spot — 95% confidence</w:t>
            </w:r>
          </w:p>
        </w:tc>
        <w:tc>
          <w:tcPr>
            <w:tcW w:w="1250" w:type="pct"/>
            <w:shd w:val="clear" w:color="auto" w:fill="F2F2F2"/>
            <w:tcMar>
              <w:top w:w="80" w:type="dxa"/>
              <w:left w:w="100" w:type="dxa"/>
              <w:bottom w:w="80" w:type="dxa"/>
              <w:right w:w="100" w:type="dxa"/>
            </w:tcMar>
            <w:vAlign w:val="center"/>
          </w:tcPr>
          <w:p w14:paraId="36F764EB" w14:textId="77777777" w:rsidR="00C013AF" w:rsidRDefault="00411DCE">
            <w:pPr>
              <w:jc w:val="center"/>
            </w:pPr>
            <w:r>
              <w:rPr>
                <w:color w:val="000000"/>
              </w:rPr>
              <w:t>40</w:t>
            </w:r>
          </w:p>
        </w:tc>
        <w:tc>
          <w:tcPr>
            <w:tcW w:w="1250" w:type="pct"/>
            <w:shd w:val="clear" w:color="auto" w:fill="F2F2F2"/>
            <w:tcMar>
              <w:top w:w="80" w:type="dxa"/>
              <w:left w:w="100" w:type="dxa"/>
              <w:bottom w:w="80" w:type="dxa"/>
              <w:right w:w="100" w:type="dxa"/>
            </w:tcMar>
            <w:vAlign w:val="center"/>
          </w:tcPr>
          <w:p w14:paraId="4BE75B78" w14:textId="77777777" w:rsidR="00C013AF" w:rsidRDefault="00411DCE">
            <w:pPr>
              <w:jc w:val="center"/>
            </w:pPr>
            <w:r>
              <w:rPr>
                <w:color w:val="000000"/>
              </w:rPr>
              <w:t>2.1%</w:t>
            </w:r>
          </w:p>
        </w:tc>
      </w:tr>
      <w:tr w:rsidR="00C013AF" w14:paraId="4DAE5629" w14:textId="77777777">
        <w:tblPrEx>
          <w:tblCellMar>
            <w:top w:w="0" w:type="dxa"/>
            <w:bottom w:w="0" w:type="dxa"/>
          </w:tblCellMar>
        </w:tblPrEx>
        <w:tc>
          <w:tcPr>
            <w:tcW w:w="1250" w:type="pct"/>
            <w:tcMar>
              <w:top w:w="80" w:type="dxa"/>
              <w:left w:w="100" w:type="dxa"/>
              <w:bottom w:w="80" w:type="dxa"/>
              <w:right w:w="100" w:type="dxa"/>
            </w:tcMar>
            <w:vAlign w:val="center"/>
          </w:tcPr>
          <w:p w14:paraId="55C41C7C" w14:textId="77777777" w:rsidR="00C013AF" w:rsidRDefault="00411DCE">
            <w:r>
              <w:rPr>
                <w:color w:val="000000"/>
              </w:rPr>
              <w:t>Hot Spot — 90% confidence</w:t>
            </w:r>
          </w:p>
        </w:tc>
        <w:tc>
          <w:tcPr>
            <w:tcW w:w="1250" w:type="pct"/>
            <w:tcMar>
              <w:top w:w="80" w:type="dxa"/>
              <w:left w:w="100" w:type="dxa"/>
              <w:bottom w:w="80" w:type="dxa"/>
              <w:right w:w="100" w:type="dxa"/>
            </w:tcMar>
            <w:vAlign w:val="center"/>
          </w:tcPr>
          <w:p w14:paraId="5F85AB4B" w14:textId="77777777" w:rsidR="00C013AF" w:rsidRDefault="00411DCE">
            <w:pPr>
              <w:jc w:val="center"/>
            </w:pPr>
            <w:r>
              <w:rPr>
                <w:color w:val="000000"/>
              </w:rPr>
              <w:t>29</w:t>
            </w:r>
          </w:p>
        </w:tc>
        <w:tc>
          <w:tcPr>
            <w:tcW w:w="1250" w:type="pct"/>
            <w:tcMar>
              <w:top w:w="80" w:type="dxa"/>
              <w:left w:w="100" w:type="dxa"/>
              <w:bottom w:w="80" w:type="dxa"/>
              <w:right w:w="100" w:type="dxa"/>
            </w:tcMar>
            <w:vAlign w:val="center"/>
          </w:tcPr>
          <w:p w14:paraId="26094BD1" w14:textId="77777777" w:rsidR="00C013AF" w:rsidRDefault="00411DCE">
            <w:pPr>
              <w:jc w:val="center"/>
            </w:pPr>
            <w:r>
              <w:rPr>
                <w:color w:val="000000"/>
              </w:rPr>
              <w:t>1.5%</w:t>
            </w:r>
          </w:p>
        </w:tc>
      </w:tr>
      <w:tr w:rsidR="00C013AF" w14:paraId="3466FA3E" w14:textId="77777777">
        <w:tblPrEx>
          <w:tblCellMar>
            <w:top w:w="0" w:type="dxa"/>
            <w:bottom w:w="0" w:type="dxa"/>
          </w:tblCellMar>
        </w:tblPrEx>
        <w:tc>
          <w:tcPr>
            <w:tcW w:w="1250" w:type="pct"/>
            <w:tcMar>
              <w:top w:w="80" w:type="dxa"/>
              <w:left w:w="100" w:type="dxa"/>
              <w:bottom w:w="80" w:type="dxa"/>
              <w:right w:w="100" w:type="dxa"/>
            </w:tcMar>
            <w:vAlign w:val="center"/>
          </w:tcPr>
          <w:p w14:paraId="342C3671" w14:textId="77777777" w:rsidR="00C013AF" w:rsidRDefault="00411DCE">
            <w:r>
              <w:rPr>
                <w:color w:val="000000"/>
              </w:rPr>
              <w:t>Not Significant</w:t>
            </w:r>
          </w:p>
        </w:tc>
        <w:tc>
          <w:tcPr>
            <w:tcW w:w="1250" w:type="pct"/>
            <w:shd w:val="clear" w:color="auto" w:fill="F2F2F2"/>
            <w:tcMar>
              <w:top w:w="80" w:type="dxa"/>
              <w:left w:w="100" w:type="dxa"/>
              <w:bottom w:w="80" w:type="dxa"/>
              <w:right w:w="100" w:type="dxa"/>
            </w:tcMar>
            <w:vAlign w:val="center"/>
          </w:tcPr>
          <w:p w14:paraId="1F3154D6" w14:textId="77777777" w:rsidR="00C013AF" w:rsidRDefault="00411DCE">
            <w:pPr>
              <w:jc w:val="center"/>
            </w:pPr>
            <w:r>
              <w:rPr>
                <w:color w:val="000000"/>
              </w:rPr>
              <w:t>1,806</w:t>
            </w:r>
          </w:p>
        </w:tc>
        <w:tc>
          <w:tcPr>
            <w:tcW w:w="1250" w:type="pct"/>
            <w:shd w:val="clear" w:color="auto" w:fill="F2F2F2"/>
            <w:tcMar>
              <w:top w:w="80" w:type="dxa"/>
              <w:left w:w="100" w:type="dxa"/>
              <w:bottom w:w="80" w:type="dxa"/>
              <w:right w:w="100" w:type="dxa"/>
            </w:tcMar>
            <w:vAlign w:val="center"/>
          </w:tcPr>
          <w:p w14:paraId="429049AB" w14:textId="77777777" w:rsidR="00C013AF" w:rsidRDefault="00411DCE">
            <w:pPr>
              <w:jc w:val="center"/>
            </w:pPr>
            <w:r>
              <w:rPr>
                <w:color w:val="000000"/>
              </w:rPr>
              <w:t>94.5%</w:t>
            </w:r>
          </w:p>
        </w:tc>
      </w:tr>
    </w:tbl>
    <w:p w14:paraId="69244AE9" w14:textId="77777777" w:rsidR="00C013AF" w:rsidRDefault="00411DCE">
      <w:pPr>
        <w:pStyle w:val="Heading2"/>
        <w:spacing w:before="300" w:after="150"/>
      </w:pPr>
      <w:r>
        <w:rPr>
          <w:b/>
          <w:bCs/>
          <w:color w:val="1F3864"/>
          <w:sz w:val="24"/>
          <w:szCs w:val="24"/>
        </w:rPr>
        <w:lastRenderedPageBreak/>
        <w:t>4.4 Spatial Distribution of Hotspots</w:t>
      </w:r>
    </w:p>
    <w:p w14:paraId="27CB7611" w14:textId="77777777" w:rsidR="00186BE1" w:rsidRDefault="00186BE1" w:rsidP="00186BE1">
      <w:pPr>
        <w:pStyle w:val="NormalWeb"/>
        <w:jc w:val="center"/>
        <w:rPr>
          <w:i/>
          <w:iCs/>
          <w:color w:val="595959"/>
          <w:sz w:val="19"/>
          <w:szCs w:val="19"/>
        </w:rPr>
      </w:pPr>
      <w:r>
        <w:rPr>
          <w:noProof/>
        </w:rPr>
        <w:drawing>
          <wp:inline distT="0" distB="0" distL="0" distR="0" wp14:anchorId="0B254B0F" wp14:editId="1D98259C">
            <wp:extent cx="5916111" cy="4183380"/>
            <wp:effectExtent l="0" t="0" r="889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0451" cy="4193520"/>
                    </a:xfrm>
                    <a:prstGeom prst="rect">
                      <a:avLst/>
                    </a:prstGeom>
                    <a:noFill/>
                    <a:ln>
                      <a:noFill/>
                    </a:ln>
                  </pic:spPr>
                </pic:pic>
              </a:graphicData>
            </a:graphic>
          </wp:inline>
        </w:drawing>
      </w:r>
    </w:p>
    <w:p w14:paraId="21302F08" w14:textId="5F9271D8" w:rsidR="00C013AF" w:rsidRDefault="00411DCE" w:rsidP="00186BE1">
      <w:pPr>
        <w:pStyle w:val="NormalWeb"/>
        <w:jc w:val="both"/>
      </w:pPr>
      <w:r>
        <w:rPr>
          <w:i/>
          <w:iCs/>
          <w:color w:val="595959"/>
          <w:sz w:val="19"/>
          <w:szCs w:val="19"/>
        </w:rPr>
        <w:t>Figure 1</w:t>
      </w:r>
      <w:r w:rsidR="00186BE1">
        <w:rPr>
          <w:i/>
          <w:iCs/>
          <w:color w:val="595959"/>
          <w:sz w:val="19"/>
          <w:szCs w:val="19"/>
        </w:rPr>
        <w:t xml:space="preserve">: </w:t>
      </w:r>
      <w:r>
        <w:rPr>
          <w:i/>
          <w:iCs/>
          <w:color w:val="595959"/>
          <w:sz w:val="19"/>
          <w:szCs w:val="19"/>
        </w:rPr>
        <w:t xml:space="preserve"> Statistically significant crash hotspots, Birmingham, 2020–2024. Cartography: QGIS. </w:t>
      </w:r>
      <w:proofErr w:type="spellStart"/>
      <w:r>
        <w:rPr>
          <w:i/>
          <w:iCs/>
          <w:color w:val="595959"/>
          <w:sz w:val="19"/>
          <w:szCs w:val="19"/>
        </w:rPr>
        <w:t>Basemap</w:t>
      </w:r>
      <w:proofErr w:type="spellEnd"/>
      <w:r>
        <w:rPr>
          <w:i/>
          <w:iCs/>
          <w:color w:val="595959"/>
          <w:sz w:val="19"/>
          <w:szCs w:val="19"/>
        </w:rPr>
        <w:t xml:space="preserve">: OpenStreetMap contributors. Source: </w:t>
      </w:r>
      <w:proofErr w:type="spellStart"/>
      <w:r>
        <w:rPr>
          <w:i/>
          <w:iCs/>
          <w:color w:val="595959"/>
          <w:sz w:val="19"/>
          <w:szCs w:val="19"/>
        </w:rPr>
        <w:t>DfT</w:t>
      </w:r>
      <w:proofErr w:type="spellEnd"/>
      <w:r>
        <w:rPr>
          <w:i/>
          <w:iCs/>
          <w:color w:val="595959"/>
          <w:sz w:val="19"/>
          <w:szCs w:val="19"/>
        </w:rPr>
        <w:t xml:space="preserve"> STATS19 Road Safety Data.</w:t>
      </w:r>
    </w:p>
    <w:p w14:paraId="5089036C" w14:textId="77777777" w:rsidR="00C013AF" w:rsidRDefault="00411DCE">
      <w:pPr>
        <w:spacing w:after="180" w:line="276" w:lineRule="auto"/>
        <w:jc w:val="both"/>
      </w:pPr>
      <w:r>
        <w:rPr>
          <w:sz w:val="22"/>
          <w:szCs w:val="22"/>
        </w:rPr>
        <w:t>T</w:t>
      </w:r>
      <w:r>
        <w:rPr>
          <w:sz w:val="22"/>
          <w:szCs w:val="22"/>
        </w:rPr>
        <w:t>he highest-intensity hotspot cells concentrate</w:t>
      </w:r>
      <w:r>
        <w:rPr>
          <w:sz w:val="22"/>
          <w:szCs w:val="22"/>
        </w:rPr>
        <w:t xml:space="preserve"> around Birmingham's city centre, with a secondary corridor of significant cells extending southwest toward </w:t>
      </w:r>
      <w:proofErr w:type="spellStart"/>
      <w:r>
        <w:rPr>
          <w:sz w:val="22"/>
          <w:szCs w:val="22"/>
        </w:rPr>
        <w:t>Edgbaston</w:t>
      </w:r>
      <w:proofErr w:type="spellEnd"/>
      <w:r>
        <w:rPr>
          <w:sz w:val="22"/>
          <w:szCs w:val="22"/>
        </w:rPr>
        <w:t>/</w:t>
      </w:r>
      <w:proofErr w:type="spellStart"/>
      <w:r>
        <w:rPr>
          <w:sz w:val="22"/>
          <w:szCs w:val="22"/>
        </w:rPr>
        <w:t>Ladywood</w:t>
      </w:r>
      <w:proofErr w:type="spellEnd"/>
      <w:r>
        <w:rPr>
          <w:sz w:val="22"/>
          <w:szCs w:val="22"/>
        </w:rPr>
        <w:t>. This is not a scattered, random pattern of isolated points but a connected corridor structure, consistent with the strong Moran'</w:t>
      </w:r>
      <w:r>
        <w:rPr>
          <w:sz w:val="22"/>
          <w:szCs w:val="22"/>
        </w:rPr>
        <w:t>s I result in Section 4.2.</w:t>
      </w:r>
    </w:p>
    <w:p w14:paraId="335524F2" w14:textId="77777777" w:rsidR="00C013AF" w:rsidRDefault="00411DCE">
      <w:pPr>
        <w:pStyle w:val="Heading2"/>
        <w:spacing w:before="300" w:after="150"/>
      </w:pPr>
      <w:r>
        <w:rPr>
          <w:b/>
          <w:bCs/>
          <w:color w:val="1F3864"/>
          <w:sz w:val="24"/>
          <w:szCs w:val="24"/>
        </w:rPr>
        <w:t>4.5 Temporal Trend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2175"/>
        <w:gridCol w:w="2175"/>
        <w:gridCol w:w="2175"/>
        <w:gridCol w:w="650"/>
      </w:tblGrid>
      <w:tr w:rsidR="00C013AF" w14:paraId="67567B24" w14:textId="77777777">
        <w:tblPrEx>
          <w:tblCellMar>
            <w:top w:w="0" w:type="dxa"/>
            <w:bottom w:w="0" w:type="dxa"/>
          </w:tblCellMar>
        </w:tblPrEx>
        <w:tc>
          <w:tcPr>
            <w:tcW w:w="1250" w:type="pct"/>
            <w:shd w:val="clear" w:color="auto" w:fill="1F3864"/>
            <w:tcMar>
              <w:top w:w="80" w:type="dxa"/>
              <w:left w:w="100" w:type="dxa"/>
              <w:bottom w:w="80" w:type="dxa"/>
              <w:right w:w="100" w:type="dxa"/>
            </w:tcMar>
            <w:vAlign w:val="center"/>
          </w:tcPr>
          <w:p w14:paraId="6477222B" w14:textId="77777777" w:rsidR="00C013AF" w:rsidRDefault="00411DCE">
            <w:pPr>
              <w:jc w:val="center"/>
            </w:pPr>
            <w:r>
              <w:rPr>
                <w:b/>
                <w:bCs/>
                <w:color w:val="FFFFFF"/>
              </w:rPr>
              <w:t>2020</w:t>
            </w:r>
          </w:p>
        </w:tc>
        <w:tc>
          <w:tcPr>
            <w:tcW w:w="1250" w:type="pct"/>
            <w:shd w:val="clear" w:color="auto" w:fill="1F3864"/>
            <w:tcMar>
              <w:top w:w="80" w:type="dxa"/>
              <w:left w:w="100" w:type="dxa"/>
              <w:bottom w:w="80" w:type="dxa"/>
              <w:right w:w="100" w:type="dxa"/>
            </w:tcMar>
            <w:vAlign w:val="center"/>
          </w:tcPr>
          <w:p w14:paraId="4966A5AF" w14:textId="77777777" w:rsidR="00C013AF" w:rsidRDefault="00411DCE">
            <w:pPr>
              <w:jc w:val="center"/>
            </w:pPr>
            <w:r>
              <w:rPr>
                <w:b/>
                <w:bCs/>
                <w:color w:val="FFFFFF"/>
              </w:rPr>
              <w:t>2021</w:t>
            </w:r>
          </w:p>
        </w:tc>
        <w:tc>
          <w:tcPr>
            <w:tcW w:w="1250" w:type="pct"/>
            <w:shd w:val="clear" w:color="auto" w:fill="1F3864"/>
            <w:tcMar>
              <w:top w:w="80" w:type="dxa"/>
              <w:left w:w="100" w:type="dxa"/>
              <w:bottom w:w="80" w:type="dxa"/>
              <w:right w:w="100" w:type="dxa"/>
            </w:tcMar>
            <w:vAlign w:val="center"/>
          </w:tcPr>
          <w:p w14:paraId="01EF1128" w14:textId="77777777" w:rsidR="00C013AF" w:rsidRDefault="00411DCE">
            <w:pPr>
              <w:jc w:val="center"/>
            </w:pPr>
            <w:r>
              <w:rPr>
                <w:b/>
                <w:bCs/>
                <w:color w:val="FFFFFF"/>
              </w:rPr>
              <w:t>2022</w:t>
            </w:r>
          </w:p>
        </w:tc>
        <w:tc>
          <w:tcPr>
            <w:tcW w:w="1250" w:type="pct"/>
            <w:shd w:val="clear" w:color="auto" w:fill="1F3864"/>
            <w:tcMar>
              <w:top w:w="80" w:type="dxa"/>
              <w:left w:w="100" w:type="dxa"/>
              <w:bottom w:w="80" w:type="dxa"/>
              <w:right w:w="100" w:type="dxa"/>
            </w:tcMar>
            <w:vAlign w:val="center"/>
          </w:tcPr>
          <w:p w14:paraId="4B71D232" w14:textId="77777777" w:rsidR="00C013AF" w:rsidRDefault="00411DCE">
            <w:pPr>
              <w:jc w:val="center"/>
            </w:pPr>
            <w:r>
              <w:rPr>
                <w:b/>
                <w:bCs/>
                <w:color w:val="FFFFFF"/>
              </w:rPr>
              <w:t>2023</w:t>
            </w:r>
          </w:p>
        </w:tc>
        <w:tc>
          <w:tcPr>
            <w:tcW w:w="1250" w:type="pct"/>
            <w:shd w:val="clear" w:color="auto" w:fill="1F3864"/>
            <w:tcMar>
              <w:top w:w="80" w:type="dxa"/>
              <w:left w:w="100" w:type="dxa"/>
              <w:bottom w:w="80" w:type="dxa"/>
              <w:right w:w="100" w:type="dxa"/>
            </w:tcMar>
            <w:vAlign w:val="center"/>
          </w:tcPr>
          <w:p w14:paraId="68999783" w14:textId="77777777" w:rsidR="00C013AF" w:rsidRDefault="00411DCE">
            <w:pPr>
              <w:jc w:val="center"/>
            </w:pPr>
            <w:r>
              <w:rPr>
                <w:b/>
                <w:bCs/>
                <w:color w:val="FFFFFF"/>
              </w:rPr>
              <w:t>2024</w:t>
            </w:r>
          </w:p>
        </w:tc>
      </w:tr>
      <w:tr w:rsidR="00C013AF" w14:paraId="7FEB75C4" w14:textId="77777777">
        <w:tblPrEx>
          <w:tblCellMar>
            <w:top w:w="0" w:type="dxa"/>
            <w:bottom w:w="0" w:type="dxa"/>
          </w:tblCellMar>
        </w:tblPrEx>
        <w:tc>
          <w:tcPr>
            <w:tcW w:w="1250" w:type="pct"/>
            <w:tcMar>
              <w:top w:w="80" w:type="dxa"/>
              <w:left w:w="100" w:type="dxa"/>
              <w:bottom w:w="80" w:type="dxa"/>
              <w:right w:w="100" w:type="dxa"/>
            </w:tcMar>
            <w:vAlign w:val="center"/>
          </w:tcPr>
          <w:p w14:paraId="7BBF0C43" w14:textId="77777777" w:rsidR="00C013AF" w:rsidRDefault="00411DCE">
            <w:pPr>
              <w:jc w:val="center"/>
            </w:pPr>
            <w:r>
              <w:rPr>
                <w:color w:val="000000"/>
              </w:rPr>
              <w:t>1,802</w:t>
            </w:r>
          </w:p>
        </w:tc>
        <w:tc>
          <w:tcPr>
            <w:tcW w:w="1250" w:type="pct"/>
            <w:shd w:val="clear" w:color="auto" w:fill="F2F2F2"/>
            <w:tcMar>
              <w:top w:w="80" w:type="dxa"/>
              <w:left w:w="100" w:type="dxa"/>
              <w:bottom w:w="80" w:type="dxa"/>
              <w:right w:w="100" w:type="dxa"/>
            </w:tcMar>
            <w:vAlign w:val="center"/>
          </w:tcPr>
          <w:p w14:paraId="6B464DAA" w14:textId="77777777" w:rsidR="00C013AF" w:rsidRDefault="00411DCE">
            <w:pPr>
              <w:jc w:val="center"/>
            </w:pPr>
            <w:r>
              <w:rPr>
                <w:color w:val="000000"/>
              </w:rPr>
              <w:t>2,137</w:t>
            </w:r>
          </w:p>
        </w:tc>
        <w:tc>
          <w:tcPr>
            <w:tcW w:w="1250" w:type="pct"/>
            <w:tcMar>
              <w:top w:w="80" w:type="dxa"/>
              <w:left w:w="100" w:type="dxa"/>
              <w:bottom w:w="80" w:type="dxa"/>
              <w:right w:w="100" w:type="dxa"/>
            </w:tcMar>
            <w:vAlign w:val="center"/>
          </w:tcPr>
          <w:p w14:paraId="031E5F2F" w14:textId="77777777" w:rsidR="00C013AF" w:rsidRDefault="00411DCE">
            <w:pPr>
              <w:jc w:val="center"/>
            </w:pPr>
            <w:r>
              <w:rPr>
                <w:color w:val="000000"/>
              </w:rPr>
              <w:t>2,383</w:t>
            </w:r>
          </w:p>
        </w:tc>
        <w:tc>
          <w:tcPr>
            <w:tcW w:w="1250" w:type="pct"/>
            <w:shd w:val="clear" w:color="auto" w:fill="F2F2F2"/>
            <w:tcMar>
              <w:top w:w="80" w:type="dxa"/>
              <w:left w:w="100" w:type="dxa"/>
              <w:bottom w:w="80" w:type="dxa"/>
              <w:right w:w="100" w:type="dxa"/>
            </w:tcMar>
            <w:vAlign w:val="center"/>
          </w:tcPr>
          <w:p w14:paraId="3F363B42" w14:textId="77777777" w:rsidR="00C013AF" w:rsidRDefault="00411DCE">
            <w:pPr>
              <w:jc w:val="center"/>
            </w:pPr>
            <w:r>
              <w:rPr>
                <w:color w:val="000000"/>
              </w:rPr>
              <w:t>2,199</w:t>
            </w:r>
          </w:p>
        </w:tc>
        <w:tc>
          <w:tcPr>
            <w:tcW w:w="1250" w:type="pct"/>
            <w:tcMar>
              <w:top w:w="80" w:type="dxa"/>
              <w:left w:w="100" w:type="dxa"/>
              <w:bottom w:w="80" w:type="dxa"/>
              <w:right w:w="100" w:type="dxa"/>
            </w:tcMar>
            <w:vAlign w:val="center"/>
          </w:tcPr>
          <w:p w14:paraId="1E8C1AC3" w14:textId="77777777" w:rsidR="00C013AF" w:rsidRDefault="00411DCE">
            <w:pPr>
              <w:jc w:val="center"/>
            </w:pPr>
            <w:r>
              <w:rPr>
                <w:color w:val="000000"/>
              </w:rPr>
              <w:t>2,296</w:t>
            </w:r>
          </w:p>
        </w:tc>
      </w:tr>
    </w:tbl>
    <w:p w14:paraId="0711D29F" w14:textId="77777777" w:rsidR="00C013AF" w:rsidRDefault="00C013AF">
      <w:pPr>
        <w:spacing w:before="200"/>
      </w:pPr>
    </w:p>
    <w:p w14:paraId="48894A85" w14:textId="62AF9457" w:rsidR="00C013AF" w:rsidRDefault="00411DCE" w:rsidP="00186BE1">
      <w:pPr>
        <w:spacing w:after="180" w:line="276" w:lineRule="auto"/>
        <w:jc w:val="both"/>
      </w:pPr>
      <w:r>
        <w:rPr>
          <w:sz w:val="22"/>
          <w:szCs w:val="22"/>
        </w:rPr>
        <w:t>Total collision volume dipped in 2020 (1,802 records) relative to subsequent years, consistent with reduced traffic volumes during COVID-19-related restrictions, before rising through 2022</w:t>
      </w:r>
      <w:r w:rsidR="00186BE1">
        <w:rPr>
          <w:sz w:val="22"/>
          <w:szCs w:val="22"/>
        </w:rPr>
        <w:t xml:space="preserve"> - </w:t>
      </w:r>
      <w:r>
        <w:rPr>
          <w:sz w:val="22"/>
          <w:szCs w:val="22"/>
        </w:rPr>
        <w:t>2024. Notably, serious-severity collisions rose from 308 in 2020 to</w:t>
      </w:r>
      <w:r>
        <w:rPr>
          <w:sz w:val="22"/>
          <w:szCs w:val="22"/>
        </w:rPr>
        <w:t xml:space="preserve"> 459 in 2024</w:t>
      </w:r>
      <w:r w:rsidR="00186BE1">
        <w:rPr>
          <w:sz w:val="22"/>
          <w:szCs w:val="22"/>
        </w:rPr>
        <w:t>,</w:t>
      </w:r>
      <w:r>
        <w:rPr>
          <w:sz w:val="22"/>
          <w:szCs w:val="22"/>
        </w:rPr>
        <w:t xml:space="preserve"> a steeper proportional increase than overall volume</w:t>
      </w:r>
      <w:r w:rsidR="00186BE1">
        <w:rPr>
          <w:sz w:val="22"/>
          <w:szCs w:val="22"/>
        </w:rPr>
        <w:t>. This</w:t>
      </w:r>
      <w:r>
        <w:rPr>
          <w:sz w:val="22"/>
          <w:szCs w:val="22"/>
        </w:rPr>
        <w:t xml:space="preserve"> suggest</w:t>
      </w:r>
      <w:r w:rsidR="00186BE1">
        <w:rPr>
          <w:sz w:val="22"/>
          <w:szCs w:val="22"/>
        </w:rPr>
        <w:t>ed</w:t>
      </w:r>
      <w:r>
        <w:rPr>
          <w:sz w:val="22"/>
          <w:szCs w:val="22"/>
        </w:rPr>
        <w:t xml:space="preserve"> this trend merit</w:t>
      </w:r>
      <w:r w:rsidR="00186BE1">
        <w:rPr>
          <w:sz w:val="22"/>
          <w:szCs w:val="22"/>
        </w:rPr>
        <w:t>ed</w:t>
      </w:r>
      <w:r>
        <w:rPr>
          <w:sz w:val="22"/>
          <w:szCs w:val="22"/>
        </w:rPr>
        <w:t xml:space="preserve"> independent investigation beyond the spatial clustering analysis (see Section 8).</w:t>
      </w:r>
    </w:p>
    <w:p w14:paraId="55FCA236" w14:textId="77777777" w:rsidR="00C013AF" w:rsidRDefault="00411DCE">
      <w:pPr>
        <w:pStyle w:val="Heading1"/>
        <w:pBdr>
          <w:bottom w:val="single" w:sz="6" w:space="4" w:color="1F3864"/>
        </w:pBdr>
        <w:spacing w:before="400" w:after="200"/>
      </w:pPr>
      <w:r>
        <w:rPr>
          <w:b/>
          <w:bCs/>
          <w:color w:val="1F3864"/>
          <w:sz w:val="30"/>
          <w:szCs w:val="30"/>
        </w:rPr>
        <w:lastRenderedPageBreak/>
        <w:t>5. Site-Level Review of Priority Hotspots</w:t>
      </w:r>
    </w:p>
    <w:p w14:paraId="57E7DFE9" w14:textId="7D2D2BC5" w:rsidR="00C013AF" w:rsidRDefault="00411DCE">
      <w:pPr>
        <w:spacing w:after="180" w:line="276" w:lineRule="auto"/>
        <w:jc w:val="both"/>
      </w:pPr>
      <w:r>
        <w:rPr>
          <w:sz w:val="22"/>
          <w:szCs w:val="22"/>
        </w:rPr>
        <w:t>Statistical significance identifi</w:t>
      </w:r>
      <w:r>
        <w:rPr>
          <w:sz w:val="22"/>
          <w:szCs w:val="22"/>
        </w:rPr>
        <w:t>es where a problem is concentrated; it does not by itself explain why. The five highest-confidence (99%) hotspot cells were reviewed individually using satellite and street-level imagery to ground the statistical findings in real engineering and land-use c</w:t>
      </w:r>
      <w:r>
        <w:rPr>
          <w:sz w:val="22"/>
          <w:szCs w:val="22"/>
        </w:rPr>
        <w:t xml:space="preserve">ontext </w:t>
      </w:r>
      <w:r w:rsidR="00186BE1">
        <w:rPr>
          <w:sz w:val="22"/>
          <w:szCs w:val="22"/>
        </w:rPr>
        <w:t>-</w:t>
      </w:r>
      <w:r>
        <w:rPr>
          <w:sz w:val="22"/>
          <w:szCs w:val="22"/>
        </w:rPr>
        <w:t xml:space="preserve"> the step that converts a set of coordinates into an actionable recommendation.</w:t>
      </w:r>
    </w:p>
    <w:p w14:paraId="7585D5DE" w14:textId="6B732383" w:rsidR="00C013AF" w:rsidRDefault="00411DCE" w:rsidP="00186BE1">
      <w:pPr>
        <w:pStyle w:val="Heading2"/>
        <w:spacing w:before="300" w:after="150"/>
        <w:jc w:val="both"/>
      </w:pPr>
      <w:r>
        <w:rPr>
          <w:b/>
          <w:bCs/>
          <w:color w:val="1F3864"/>
          <w:sz w:val="24"/>
          <w:szCs w:val="24"/>
        </w:rPr>
        <w:t xml:space="preserve">5.1 </w:t>
      </w:r>
      <w:r w:rsidR="00AF3032">
        <w:rPr>
          <w:b/>
          <w:bCs/>
          <w:color w:val="1F3864"/>
          <w:sz w:val="24"/>
          <w:szCs w:val="24"/>
        </w:rPr>
        <w:t xml:space="preserve">Area 1: </w:t>
      </w:r>
      <w:r>
        <w:rPr>
          <w:b/>
          <w:bCs/>
          <w:color w:val="1F3864"/>
          <w:sz w:val="24"/>
          <w:szCs w:val="24"/>
        </w:rPr>
        <w:t>Small Heath Highway, approaching Bordesley Circus Roundabout (103 crashes, 99% confidence)</w:t>
      </w:r>
    </w:p>
    <w:p w14:paraId="2A6A98E4" w14:textId="77777777" w:rsidR="00C013AF" w:rsidRDefault="00411DCE">
      <w:pPr>
        <w:spacing w:before="100"/>
        <w:jc w:val="center"/>
      </w:pPr>
      <w:r>
        <w:rPr>
          <w:noProof/>
        </w:rPr>
        <w:drawing>
          <wp:inline distT="0" distB="0" distL="0" distR="0" wp14:anchorId="3DA68163" wp14:editId="7A3FAE38">
            <wp:extent cx="5996305" cy="31927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6795" cy="3203690"/>
                    </a:xfrm>
                    <a:prstGeom prst="rect">
                      <a:avLst/>
                    </a:prstGeom>
                  </pic:spPr>
                </pic:pic>
              </a:graphicData>
            </a:graphic>
          </wp:inline>
        </w:drawing>
      </w:r>
    </w:p>
    <w:p w14:paraId="56782464" w14:textId="17E40A49" w:rsidR="00C013AF" w:rsidRDefault="00411DCE">
      <w:pPr>
        <w:spacing w:before="100" w:after="300"/>
        <w:jc w:val="center"/>
      </w:pPr>
      <w:r>
        <w:rPr>
          <w:i/>
          <w:iCs/>
          <w:color w:val="595959"/>
          <w:sz w:val="19"/>
          <w:szCs w:val="19"/>
        </w:rPr>
        <w:t>Figure 2</w:t>
      </w:r>
      <w:r>
        <w:rPr>
          <w:i/>
          <w:iCs/>
          <w:color w:val="595959"/>
          <w:sz w:val="19"/>
          <w:szCs w:val="19"/>
        </w:rPr>
        <w:t xml:space="preserve">: Small Heath Highway, approaching Bordesley </w:t>
      </w:r>
      <w:r>
        <w:rPr>
          <w:i/>
          <w:iCs/>
          <w:color w:val="595959"/>
          <w:sz w:val="19"/>
          <w:szCs w:val="19"/>
        </w:rPr>
        <w:t>Circus Roundabout.</w:t>
      </w:r>
    </w:p>
    <w:p w14:paraId="087D6990" w14:textId="4BBCCFC1" w:rsidR="00C013AF" w:rsidRDefault="00411DCE">
      <w:pPr>
        <w:spacing w:after="180" w:line="276" w:lineRule="auto"/>
        <w:jc w:val="both"/>
      </w:pPr>
      <w:r>
        <w:rPr>
          <w:sz w:val="22"/>
          <w:szCs w:val="22"/>
        </w:rPr>
        <w:t>The highest-intensity cell in the study sits at a complex multi-arm gyratory where Coventry Road, Bordesley Middleway, Small Heath Highway, and Green Lane converge. The junction combines significant geometric complexity</w:t>
      </w:r>
      <w:r w:rsidR="00186BE1">
        <w:rPr>
          <w:sz w:val="22"/>
          <w:szCs w:val="22"/>
        </w:rPr>
        <w:t>,</w:t>
      </w:r>
      <w:r>
        <w:rPr>
          <w:sz w:val="22"/>
          <w:szCs w:val="22"/>
        </w:rPr>
        <w:t xml:space="preserve"> multiple conver</w:t>
      </w:r>
      <w:r>
        <w:rPr>
          <w:sz w:val="22"/>
          <w:szCs w:val="22"/>
        </w:rPr>
        <w:t>ging approaches requiring weaving and lane changes shortly after entry</w:t>
      </w:r>
      <w:r w:rsidR="00186BE1">
        <w:rPr>
          <w:sz w:val="22"/>
          <w:szCs w:val="22"/>
        </w:rPr>
        <w:t>,</w:t>
      </w:r>
      <w:r>
        <w:rPr>
          <w:sz w:val="22"/>
          <w:szCs w:val="22"/>
        </w:rPr>
        <w:t xml:space="preserve"> with a high concentration of adjacent trip-generating land uses, including a retail park, several fast-food outlets, and Bordesley rail station, producing heavy turning-movement volum</w:t>
      </w:r>
      <w:r>
        <w:rPr>
          <w:sz w:val="22"/>
          <w:szCs w:val="22"/>
        </w:rPr>
        <w:t>e layered on top of already-complex geometry. A primary school sits in close proximity.</w:t>
      </w:r>
      <w:r w:rsidR="00186BE1">
        <w:t xml:space="preserve"> </w:t>
      </w:r>
      <w:r>
        <w:rPr>
          <w:sz w:val="22"/>
          <w:szCs w:val="22"/>
        </w:rPr>
        <w:t>This is a classic complex-junction risk profile, in which crash causation is more plausibly linked to conflicting vehicle movements and elevated driver decision-load th</w:t>
      </w:r>
      <w:r>
        <w:rPr>
          <w:sz w:val="22"/>
          <w:szCs w:val="22"/>
        </w:rPr>
        <w:t>an to any single localized design defect.</w:t>
      </w:r>
    </w:p>
    <w:p w14:paraId="4E47813E" w14:textId="661AE3EA" w:rsidR="00C013AF" w:rsidRDefault="00411DCE">
      <w:pPr>
        <w:pStyle w:val="Heading2"/>
        <w:spacing w:before="300" w:after="150"/>
        <w:rPr>
          <w:b/>
          <w:bCs/>
          <w:color w:val="1F3864"/>
          <w:sz w:val="24"/>
          <w:szCs w:val="24"/>
        </w:rPr>
      </w:pPr>
      <w:r>
        <w:rPr>
          <w:b/>
          <w:bCs/>
          <w:color w:val="1F3864"/>
          <w:sz w:val="24"/>
          <w:szCs w:val="24"/>
        </w:rPr>
        <w:t xml:space="preserve">5.2 </w:t>
      </w:r>
      <w:r w:rsidR="00AF3032">
        <w:rPr>
          <w:b/>
          <w:bCs/>
          <w:color w:val="1F3864"/>
          <w:sz w:val="24"/>
          <w:szCs w:val="24"/>
        </w:rPr>
        <w:t xml:space="preserve">Area 2: </w:t>
      </w:r>
      <w:r>
        <w:rPr>
          <w:b/>
          <w:bCs/>
          <w:color w:val="1F3864"/>
          <w:sz w:val="24"/>
          <w:szCs w:val="24"/>
        </w:rPr>
        <w:t>Highgate Road / Queen Street Intersection (98 crashes, 99% confidence)</w:t>
      </w:r>
    </w:p>
    <w:p w14:paraId="65AC2B44" w14:textId="046870DD" w:rsidR="00533736" w:rsidRDefault="00533736" w:rsidP="00533736">
      <w:pPr>
        <w:spacing w:after="180" w:line="276" w:lineRule="auto"/>
        <w:jc w:val="both"/>
      </w:pPr>
      <w:r>
        <w:rPr>
          <w:sz w:val="22"/>
          <w:szCs w:val="22"/>
        </w:rPr>
        <w:t>A busy arterial intersection in Sparkbrook, situated in the immediate vicinity of multiple fast-food outlets and Highgate Hall. The land-use mix suggests a pedestrian-vehicle conflict profile rather than a purely vehicle-to-vehicle one</w:t>
      </w:r>
      <w:r>
        <w:rPr>
          <w:sz w:val="22"/>
          <w:szCs w:val="22"/>
        </w:rPr>
        <w:t>.</w:t>
      </w:r>
      <w:r>
        <w:rPr>
          <w:sz w:val="22"/>
          <w:szCs w:val="22"/>
        </w:rPr>
        <w:t xml:space="preserve"> </w:t>
      </w:r>
      <w:r>
        <w:rPr>
          <w:sz w:val="22"/>
          <w:szCs w:val="22"/>
        </w:rPr>
        <w:t>F</w:t>
      </w:r>
      <w:r>
        <w:rPr>
          <w:sz w:val="22"/>
          <w:szCs w:val="22"/>
        </w:rPr>
        <w:t xml:space="preserve">ast-food outlets generate frequent short-stop, in-and-out traffic alongside pedestrian crossing movements at irregular, informal points </w:t>
      </w:r>
      <w:r>
        <w:rPr>
          <w:sz w:val="22"/>
          <w:szCs w:val="22"/>
        </w:rPr>
        <w:t>which is</w:t>
      </w:r>
      <w:r>
        <w:rPr>
          <w:sz w:val="22"/>
          <w:szCs w:val="22"/>
        </w:rPr>
        <w:t xml:space="preserve"> a well-documented contributor to both crash frequency and, disproportionately, pedestrian casualty severity.</w:t>
      </w:r>
    </w:p>
    <w:p w14:paraId="28360FC0" w14:textId="77777777" w:rsidR="00C013AF" w:rsidRDefault="00411DCE">
      <w:pPr>
        <w:spacing w:before="100"/>
        <w:jc w:val="center"/>
      </w:pPr>
      <w:r>
        <w:rPr>
          <w:noProof/>
        </w:rPr>
        <w:lastRenderedPageBreak/>
        <w:drawing>
          <wp:inline distT="0" distB="0" distL="0" distR="0" wp14:anchorId="22803FC8" wp14:editId="61E93870">
            <wp:extent cx="5901690" cy="30251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9451" cy="3044496"/>
                    </a:xfrm>
                    <a:prstGeom prst="rect">
                      <a:avLst/>
                    </a:prstGeom>
                  </pic:spPr>
                </pic:pic>
              </a:graphicData>
            </a:graphic>
          </wp:inline>
        </w:drawing>
      </w:r>
    </w:p>
    <w:p w14:paraId="3D0705A0" w14:textId="25D58879" w:rsidR="00C013AF" w:rsidRDefault="00411DCE">
      <w:pPr>
        <w:spacing w:before="100" w:after="300"/>
        <w:jc w:val="center"/>
      </w:pPr>
      <w:r>
        <w:rPr>
          <w:i/>
          <w:iCs/>
          <w:color w:val="595959"/>
          <w:sz w:val="19"/>
          <w:szCs w:val="19"/>
        </w:rPr>
        <w:t>Figure 3</w:t>
      </w:r>
      <w:r>
        <w:rPr>
          <w:i/>
          <w:iCs/>
          <w:color w:val="595959"/>
          <w:sz w:val="19"/>
          <w:szCs w:val="19"/>
        </w:rPr>
        <w:t>: Highgate Road / Queen Street Intersection.</w:t>
      </w:r>
    </w:p>
    <w:p w14:paraId="452F1159" w14:textId="11827513" w:rsidR="00C013AF" w:rsidRDefault="00411DCE">
      <w:pPr>
        <w:pStyle w:val="Heading2"/>
        <w:spacing w:before="300" w:after="150"/>
      </w:pPr>
      <w:r>
        <w:rPr>
          <w:b/>
          <w:bCs/>
          <w:color w:val="1F3864"/>
          <w:sz w:val="24"/>
          <w:szCs w:val="24"/>
        </w:rPr>
        <w:t xml:space="preserve">5.3 </w:t>
      </w:r>
      <w:r w:rsidR="00AF3032">
        <w:rPr>
          <w:b/>
          <w:bCs/>
          <w:color w:val="1F3864"/>
          <w:sz w:val="24"/>
          <w:szCs w:val="24"/>
        </w:rPr>
        <w:t xml:space="preserve">Area 3: </w:t>
      </w:r>
      <w:r>
        <w:rPr>
          <w:b/>
          <w:bCs/>
          <w:color w:val="1F3864"/>
          <w:sz w:val="24"/>
          <w:szCs w:val="24"/>
        </w:rPr>
        <w:t>Parkes Avenue,</w:t>
      </w:r>
      <w:r>
        <w:rPr>
          <w:b/>
          <w:bCs/>
          <w:color w:val="1F3864"/>
          <w:sz w:val="24"/>
          <w:szCs w:val="24"/>
        </w:rPr>
        <w:t xml:space="preserve"> near Belgrave Village (74 crashes, 99% confidence)</w:t>
      </w:r>
    </w:p>
    <w:p w14:paraId="39B95D79" w14:textId="77777777" w:rsidR="00C013AF" w:rsidRDefault="00411DCE">
      <w:pPr>
        <w:spacing w:before="100"/>
        <w:jc w:val="center"/>
      </w:pPr>
      <w:r>
        <w:rPr>
          <w:noProof/>
        </w:rPr>
        <w:drawing>
          <wp:inline distT="0" distB="0" distL="0" distR="0" wp14:anchorId="15463D6A" wp14:editId="080872D7">
            <wp:extent cx="5981065" cy="313944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8858" cy="3154028"/>
                    </a:xfrm>
                    <a:prstGeom prst="rect">
                      <a:avLst/>
                    </a:prstGeom>
                  </pic:spPr>
                </pic:pic>
              </a:graphicData>
            </a:graphic>
          </wp:inline>
        </w:drawing>
      </w:r>
    </w:p>
    <w:p w14:paraId="1743B224" w14:textId="46CB8A75" w:rsidR="00C013AF" w:rsidRDefault="00411DCE">
      <w:pPr>
        <w:spacing w:before="100" w:after="300"/>
        <w:jc w:val="center"/>
      </w:pPr>
      <w:r>
        <w:rPr>
          <w:i/>
          <w:iCs/>
          <w:color w:val="595959"/>
          <w:sz w:val="19"/>
          <w:szCs w:val="19"/>
        </w:rPr>
        <w:t>Figure 4</w:t>
      </w:r>
      <w:r>
        <w:rPr>
          <w:i/>
          <w:iCs/>
          <w:color w:val="595959"/>
          <w:sz w:val="19"/>
          <w:szCs w:val="19"/>
        </w:rPr>
        <w:t>: Parkes Avenue, near Belgrave Village.</w:t>
      </w:r>
    </w:p>
    <w:p w14:paraId="1B15D7FC" w14:textId="1ADFFDBE" w:rsidR="00C013AF" w:rsidRDefault="00411DCE">
      <w:pPr>
        <w:spacing w:after="180" w:line="276" w:lineRule="auto"/>
        <w:jc w:val="both"/>
      </w:pPr>
      <w:r>
        <w:rPr>
          <w:sz w:val="22"/>
          <w:szCs w:val="22"/>
        </w:rPr>
        <w:t xml:space="preserve">This site sits close to Percy </w:t>
      </w:r>
      <w:proofErr w:type="spellStart"/>
      <w:r>
        <w:rPr>
          <w:sz w:val="22"/>
          <w:szCs w:val="22"/>
        </w:rPr>
        <w:t>Shurmer</w:t>
      </w:r>
      <w:proofErr w:type="spellEnd"/>
      <w:r>
        <w:rPr>
          <w:sz w:val="22"/>
          <w:szCs w:val="22"/>
        </w:rPr>
        <w:t xml:space="preserve"> Primary School and the Haden Circus roundabout on the A4540 ring road (Belgrave Middleway). Two risk factor</w:t>
      </w:r>
      <w:r>
        <w:rPr>
          <w:sz w:val="22"/>
          <w:szCs w:val="22"/>
        </w:rPr>
        <w:t>s compound here</w:t>
      </w:r>
      <w:r w:rsidR="00533736">
        <w:rPr>
          <w:sz w:val="22"/>
          <w:szCs w:val="22"/>
        </w:rPr>
        <w:t>,</w:t>
      </w:r>
      <w:r>
        <w:rPr>
          <w:sz w:val="22"/>
          <w:szCs w:val="22"/>
        </w:rPr>
        <w:t xml:space="preserve"> a high-speed, high-volume ring-road environment directly adjacent to a school catchment area, and a transient population associated with local bed-and-breakfast accommodation who are less likely to be familiar with local road layout and cr</w:t>
      </w:r>
      <w:r>
        <w:rPr>
          <w:sz w:val="22"/>
          <w:szCs w:val="22"/>
        </w:rPr>
        <w:t>ossing points than long-term residents.</w:t>
      </w:r>
    </w:p>
    <w:p w14:paraId="300BAE46" w14:textId="2DE150BF" w:rsidR="00C013AF" w:rsidRDefault="00411DCE" w:rsidP="00533736">
      <w:pPr>
        <w:pStyle w:val="Heading2"/>
        <w:spacing w:before="300" w:after="150"/>
        <w:jc w:val="both"/>
      </w:pPr>
      <w:r>
        <w:rPr>
          <w:b/>
          <w:bCs/>
          <w:color w:val="1F3864"/>
          <w:sz w:val="24"/>
          <w:szCs w:val="24"/>
        </w:rPr>
        <w:lastRenderedPageBreak/>
        <w:t xml:space="preserve">5.4 </w:t>
      </w:r>
      <w:r w:rsidR="00AF3032">
        <w:rPr>
          <w:b/>
          <w:bCs/>
          <w:color w:val="1F3864"/>
          <w:sz w:val="24"/>
          <w:szCs w:val="24"/>
        </w:rPr>
        <w:t xml:space="preserve">Area 4: </w:t>
      </w:r>
      <w:r>
        <w:rPr>
          <w:b/>
          <w:bCs/>
          <w:color w:val="1F3864"/>
          <w:sz w:val="24"/>
          <w:szCs w:val="24"/>
        </w:rPr>
        <w:t>Lower Essex Street, approaching Kent Street (Night-Time Economy District) (56 crashes, 99% confidence)</w:t>
      </w:r>
    </w:p>
    <w:p w14:paraId="4B297118" w14:textId="77777777" w:rsidR="00C013AF" w:rsidRDefault="00411DCE">
      <w:pPr>
        <w:spacing w:before="100"/>
        <w:jc w:val="center"/>
      </w:pPr>
      <w:r>
        <w:rPr>
          <w:noProof/>
        </w:rPr>
        <w:drawing>
          <wp:inline distT="0" distB="0" distL="0" distR="0" wp14:anchorId="46AAA6A8" wp14:editId="3068700A">
            <wp:extent cx="5917565" cy="26822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1908" cy="2688741"/>
                    </a:xfrm>
                    <a:prstGeom prst="rect">
                      <a:avLst/>
                    </a:prstGeom>
                  </pic:spPr>
                </pic:pic>
              </a:graphicData>
            </a:graphic>
          </wp:inline>
        </w:drawing>
      </w:r>
    </w:p>
    <w:p w14:paraId="0FE4925E" w14:textId="0FE1457C" w:rsidR="00C013AF" w:rsidRDefault="00411DCE">
      <w:pPr>
        <w:spacing w:before="100" w:after="300"/>
        <w:jc w:val="center"/>
      </w:pPr>
      <w:r>
        <w:rPr>
          <w:i/>
          <w:iCs/>
          <w:color w:val="595959"/>
          <w:sz w:val="19"/>
          <w:szCs w:val="19"/>
        </w:rPr>
        <w:t>Figure 5</w:t>
      </w:r>
      <w:r>
        <w:rPr>
          <w:i/>
          <w:iCs/>
          <w:color w:val="595959"/>
          <w:sz w:val="19"/>
          <w:szCs w:val="19"/>
        </w:rPr>
        <w:t>: Lower Essex Street, approaching Kent Street (Night-Time Economy District).</w:t>
      </w:r>
    </w:p>
    <w:p w14:paraId="4ECFE229" w14:textId="77777777" w:rsidR="00C013AF" w:rsidRDefault="00411DCE">
      <w:pPr>
        <w:spacing w:after="180" w:line="276" w:lineRule="auto"/>
        <w:jc w:val="both"/>
      </w:pPr>
      <w:r>
        <w:rPr>
          <w:sz w:val="22"/>
          <w:szCs w:val="22"/>
        </w:rPr>
        <w:t>This</w:t>
      </w:r>
      <w:r>
        <w:rPr>
          <w:sz w:val="22"/>
          <w:szCs w:val="22"/>
        </w:rPr>
        <w:t xml:space="preserve"> location sits within Birmingham's Gay Village, in the vicinity of multiple nightlife venues. A follow-up query against the underlying crash-level data (Section 5.5) both partly confirmed and partly revised the initial hypothesis that this hotspot is drive</w:t>
      </w:r>
      <w:r>
        <w:rPr>
          <w:sz w:val="22"/>
          <w:szCs w:val="22"/>
        </w:rPr>
        <w:t>n by late-night, venue-related activity.</w:t>
      </w:r>
    </w:p>
    <w:p w14:paraId="182419B6" w14:textId="6503C725" w:rsidR="00C013AF" w:rsidRPr="00533736" w:rsidRDefault="00411DCE">
      <w:pPr>
        <w:pStyle w:val="Heading3"/>
        <w:spacing w:before="200" w:after="100"/>
        <w:rPr>
          <w:color w:val="1F3864" w:themeColor="accent1" w:themeShade="80"/>
        </w:rPr>
      </w:pPr>
      <w:r w:rsidRPr="00533736">
        <w:rPr>
          <w:b/>
          <w:bCs/>
          <w:color w:val="1F3864" w:themeColor="accent1" w:themeShade="80"/>
          <w:sz w:val="22"/>
          <w:szCs w:val="22"/>
        </w:rPr>
        <w:t>5.</w:t>
      </w:r>
      <w:r w:rsidR="00533736" w:rsidRPr="00533736">
        <w:rPr>
          <w:b/>
          <w:bCs/>
          <w:color w:val="1F3864" w:themeColor="accent1" w:themeShade="80"/>
          <w:sz w:val="22"/>
          <w:szCs w:val="22"/>
        </w:rPr>
        <w:t>4.1</w:t>
      </w:r>
      <w:r w:rsidRPr="00533736">
        <w:rPr>
          <w:b/>
          <w:bCs/>
          <w:color w:val="1F3864" w:themeColor="accent1" w:themeShade="80"/>
          <w:sz w:val="22"/>
          <w:szCs w:val="22"/>
        </w:rPr>
        <w:t xml:space="preserve"> Data Check </w:t>
      </w:r>
      <w:r w:rsidR="00533736" w:rsidRPr="00533736">
        <w:rPr>
          <w:b/>
          <w:bCs/>
          <w:color w:val="1F3864" w:themeColor="accent1" w:themeShade="80"/>
          <w:sz w:val="22"/>
          <w:szCs w:val="22"/>
        </w:rPr>
        <w:t>-</w:t>
      </w:r>
      <w:r w:rsidRPr="00533736">
        <w:rPr>
          <w:b/>
          <w:bCs/>
          <w:color w:val="1F3864" w:themeColor="accent1" w:themeShade="80"/>
          <w:sz w:val="22"/>
          <w:szCs w:val="22"/>
        </w:rPr>
        <w:t xml:space="preserve"> Contributing Factors</w:t>
      </w:r>
    </w:p>
    <w:p w14:paraId="2A462510" w14:textId="4ED5B19A" w:rsidR="00C013AF" w:rsidRDefault="00411DCE">
      <w:pPr>
        <w:spacing w:after="180" w:line="276" w:lineRule="auto"/>
        <w:jc w:val="both"/>
      </w:pPr>
      <w:r>
        <w:rPr>
          <w:sz w:val="22"/>
          <w:szCs w:val="22"/>
        </w:rPr>
        <w:t>Of the 56 crashes recorded within the</w:t>
      </w:r>
      <w:r>
        <w:rPr>
          <w:sz w:val="22"/>
          <w:szCs w:val="22"/>
        </w:rPr>
        <w:t xml:space="preserve"> grid cell, 33 (59%) occurred in darkness (STATS19 </w:t>
      </w:r>
      <w:proofErr w:type="spellStart"/>
      <w:r>
        <w:rPr>
          <w:sz w:val="22"/>
          <w:szCs w:val="22"/>
        </w:rPr>
        <w:t>light_conditions</w:t>
      </w:r>
      <w:proofErr w:type="spellEnd"/>
      <w:r>
        <w:rPr>
          <w:sz w:val="22"/>
          <w:szCs w:val="22"/>
        </w:rPr>
        <w:t xml:space="preserve"> codes 4–7). Critically, 30 of those 33 darkness-related cr</w:t>
      </w:r>
      <w:r>
        <w:rPr>
          <w:sz w:val="22"/>
          <w:szCs w:val="22"/>
        </w:rPr>
        <w:t>ashes occurred with street lighting present and functioning (code 4), with only 3 occurring under unlit or absent lighting (codes 5–6)</w:t>
      </w:r>
      <w:r w:rsidR="00533736">
        <w:rPr>
          <w:sz w:val="22"/>
          <w:szCs w:val="22"/>
        </w:rPr>
        <w:t>,</w:t>
      </w:r>
      <w:r>
        <w:rPr>
          <w:sz w:val="22"/>
          <w:szCs w:val="22"/>
        </w:rPr>
        <w:t xml:space="preserve"> ruling out a lighting-infrastructure gap as the primary cause. By clock time, only 23 of the 56 crashes (41%) fell with</w:t>
      </w:r>
      <w:r>
        <w:rPr>
          <w:sz w:val="22"/>
          <w:szCs w:val="22"/>
        </w:rPr>
        <w:t>in a strict late-night window (20:00</w:t>
      </w:r>
      <w:r w:rsidR="00533736">
        <w:rPr>
          <w:sz w:val="22"/>
          <w:szCs w:val="22"/>
        </w:rPr>
        <w:t xml:space="preserve"> - </w:t>
      </w:r>
      <w:r>
        <w:rPr>
          <w:sz w:val="22"/>
          <w:szCs w:val="22"/>
        </w:rPr>
        <w:t>05:59), fewer than the darkness-condition total, indicating that a portion of darkness-related crashes are occurring during winter dusk hours (approximately 16:00</w:t>
      </w:r>
      <w:r w:rsidR="00533736">
        <w:rPr>
          <w:sz w:val="22"/>
          <w:szCs w:val="22"/>
        </w:rPr>
        <w:t xml:space="preserve"> - </w:t>
      </w:r>
      <w:r>
        <w:rPr>
          <w:sz w:val="22"/>
          <w:szCs w:val="22"/>
        </w:rPr>
        <w:t>19:59) rather than late night specifically.</w:t>
      </w:r>
      <w:r w:rsidR="00533736">
        <w:t xml:space="preserve"> </w:t>
      </w:r>
      <w:r>
        <w:rPr>
          <w:sz w:val="22"/>
          <w:szCs w:val="22"/>
        </w:rPr>
        <w:t>This is a me</w:t>
      </w:r>
      <w:r>
        <w:rPr>
          <w:sz w:val="22"/>
          <w:szCs w:val="22"/>
        </w:rPr>
        <w:t>aningful methodological finding in its own righ</w:t>
      </w:r>
      <w:r>
        <w:rPr>
          <w:sz w:val="22"/>
          <w:szCs w:val="22"/>
        </w:rPr>
        <w:t>t</w:t>
      </w:r>
      <w:r w:rsidR="00533736">
        <w:rPr>
          <w:sz w:val="22"/>
          <w:szCs w:val="22"/>
        </w:rPr>
        <w:t>.</w:t>
      </w:r>
      <w:r>
        <w:rPr>
          <w:sz w:val="22"/>
          <w:szCs w:val="22"/>
        </w:rPr>
        <w:t xml:space="preserve"> </w:t>
      </w:r>
      <w:r w:rsidR="00533736">
        <w:rPr>
          <w:sz w:val="22"/>
          <w:szCs w:val="22"/>
        </w:rPr>
        <w:t>T</w:t>
      </w:r>
      <w:r>
        <w:rPr>
          <w:sz w:val="22"/>
          <w:szCs w:val="22"/>
        </w:rPr>
        <w:t>he initial hypothesis</w:t>
      </w:r>
      <w:r>
        <w:rPr>
          <w:sz w:val="22"/>
          <w:szCs w:val="22"/>
        </w:rPr>
        <w:t xml:space="preserve"> that a hotspot within a nightlife district must be driven by late-night, alcohol-related activity</w:t>
      </w:r>
      <w:r>
        <w:rPr>
          <w:sz w:val="22"/>
          <w:szCs w:val="22"/>
        </w:rPr>
        <w:t xml:space="preserve"> was only partially supported once tested against the data. The revised, evidence-</w:t>
      </w:r>
      <w:r>
        <w:rPr>
          <w:sz w:val="22"/>
          <w:szCs w:val="22"/>
        </w:rPr>
        <w:t>based explanation points toward a visibility and pedestrian-expectation mismatch during low-light hours</w:t>
      </w:r>
      <w:r w:rsidR="00533736">
        <w:rPr>
          <w:sz w:val="22"/>
          <w:szCs w:val="22"/>
        </w:rPr>
        <w:t>. This is</w:t>
      </w:r>
      <w:r>
        <w:rPr>
          <w:sz w:val="22"/>
          <w:szCs w:val="22"/>
        </w:rPr>
        <w:t xml:space="preserve"> most plausibly linked to informal mid-block crossing behaviour near venues, rather than either an infrastructure lighting deficiency or a purely late-n</w:t>
      </w:r>
      <w:r>
        <w:rPr>
          <w:sz w:val="22"/>
          <w:szCs w:val="22"/>
        </w:rPr>
        <w:t xml:space="preserve">ight phenomenon. The corresponding recommendation </w:t>
      </w:r>
      <w:r>
        <w:rPr>
          <w:sz w:val="22"/>
          <w:szCs w:val="22"/>
        </w:rPr>
        <w:t xml:space="preserve">was adjusted accordingly, in </w:t>
      </w:r>
      <w:proofErr w:type="spellStart"/>
      <w:r>
        <w:rPr>
          <w:sz w:val="22"/>
          <w:szCs w:val="22"/>
        </w:rPr>
        <w:t>favour</w:t>
      </w:r>
      <w:proofErr w:type="spellEnd"/>
      <w:r>
        <w:rPr>
          <w:sz w:val="22"/>
          <w:szCs w:val="22"/>
        </w:rPr>
        <w:t xml:space="preserve"> of pedestrian crossing infrastructure rather than a lighting upgrade.</w:t>
      </w:r>
    </w:p>
    <w:p w14:paraId="6008A9E8" w14:textId="764C8D84" w:rsidR="00C013AF" w:rsidRDefault="00411DCE">
      <w:pPr>
        <w:pStyle w:val="Heading2"/>
        <w:spacing w:before="300" w:after="150"/>
      </w:pPr>
      <w:r>
        <w:rPr>
          <w:b/>
          <w:bCs/>
          <w:color w:val="1F3864"/>
          <w:sz w:val="24"/>
          <w:szCs w:val="24"/>
        </w:rPr>
        <w:t xml:space="preserve">5.5 </w:t>
      </w:r>
      <w:r w:rsidR="00AF3032">
        <w:rPr>
          <w:b/>
          <w:bCs/>
          <w:color w:val="1F3864"/>
          <w:sz w:val="24"/>
          <w:szCs w:val="24"/>
        </w:rPr>
        <w:t xml:space="preserve">Area 5: </w:t>
      </w:r>
      <w:r>
        <w:rPr>
          <w:b/>
          <w:bCs/>
          <w:color w:val="1F3864"/>
          <w:sz w:val="24"/>
          <w:szCs w:val="24"/>
        </w:rPr>
        <w:t>Suffolk Street Queensway, near the Mailbox (59 crashes, 9</w:t>
      </w:r>
      <w:r>
        <w:rPr>
          <w:b/>
          <w:bCs/>
          <w:color w:val="1F3864"/>
          <w:sz w:val="24"/>
          <w:szCs w:val="24"/>
        </w:rPr>
        <w:t>9% confidence)</w:t>
      </w:r>
    </w:p>
    <w:p w14:paraId="452BF49D" w14:textId="72A948BF" w:rsidR="00C013AF" w:rsidRDefault="00411DCE">
      <w:pPr>
        <w:spacing w:after="180" w:line="276" w:lineRule="auto"/>
        <w:jc w:val="both"/>
        <w:rPr>
          <w:sz w:val="22"/>
          <w:szCs w:val="22"/>
        </w:rPr>
      </w:pPr>
      <w:r>
        <w:rPr>
          <w:sz w:val="22"/>
          <w:szCs w:val="22"/>
        </w:rPr>
        <w:t>Located on Birmingham's inner ring road (Suffolk Street Queensway), adjacent to major retail (the Mailbox), Birmingham City Council Children's Services, and hotel/hospitality l</w:t>
      </w:r>
      <w:r>
        <w:rPr>
          <w:sz w:val="22"/>
          <w:szCs w:val="22"/>
        </w:rPr>
        <w:t>and uses. This site combines heavy through-traffic on a ring-road-standard carriageway with a high volume of pedestrians moving between retail, transit (New Street Station is nearby), and office destinations</w:t>
      </w:r>
      <w:r w:rsidR="00AF3032">
        <w:rPr>
          <w:sz w:val="22"/>
          <w:szCs w:val="22"/>
        </w:rPr>
        <w:t>,</w:t>
      </w:r>
      <w:r>
        <w:rPr>
          <w:sz w:val="22"/>
          <w:szCs w:val="22"/>
        </w:rPr>
        <w:t xml:space="preserve"> a mismatch between road design speed and capac</w:t>
      </w:r>
      <w:r>
        <w:rPr>
          <w:sz w:val="22"/>
          <w:szCs w:val="22"/>
        </w:rPr>
        <w:t>ity on one hand, and actual pedestrian crossing demand on the other.</w:t>
      </w:r>
    </w:p>
    <w:p w14:paraId="291C898E" w14:textId="77777777" w:rsidR="00533736" w:rsidRDefault="00533736" w:rsidP="00533736">
      <w:pPr>
        <w:spacing w:before="100"/>
        <w:jc w:val="center"/>
      </w:pPr>
      <w:r>
        <w:rPr>
          <w:noProof/>
        </w:rPr>
        <w:lastRenderedPageBreak/>
        <w:drawing>
          <wp:inline distT="0" distB="0" distL="0" distR="0" wp14:anchorId="1457F368" wp14:editId="1A5CF466">
            <wp:extent cx="5901961" cy="28422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13637" cy="2847883"/>
                    </a:xfrm>
                    <a:prstGeom prst="rect">
                      <a:avLst/>
                    </a:prstGeom>
                  </pic:spPr>
                </pic:pic>
              </a:graphicData>
            </a:graphic>
          </wp:inline>
        </w:drawing>
      </w:r>
    </w:p>
    <w:p w14:paraId="48A159AB" w14:textId="20D6CA35" w:rsidR="00533736" w:rsidRDefault="00533736" w:rsidP="00533736">
      <w:pPr>
        <w:spacing w:before="100" w:after="300"/>
        <w:jc w:val="center"/>
      </w:pPr>
      <w:r>
        <w:rPr>
          <w:i/>
          <w:iCs/>
          <w:color w:val="595959"/>
          <w:sz w:val="19"/>
          <w:szCs w:val="19"/>
        </w:rPr>
        <w:t>Figure 6</w:t>
      </w:r>
      <w:r w:rsidR="00AF3032">
        <w:rPr>
          <w:i/>
          <w:iCs/>
          <w:color w:val="595959"/>
          <w:sz w:val="19"/>
          <w:szCs w:val="19"/>
        </w:rPr>
        <w:t>:</w:t>
      </w:r>
      <w:r>
        <w:rPr>
          <w:i/>
          <w:iCs/>
          <w:color w:val="595959"/>
          <w:sz w:val="19"/>
          <w:szCs w:val="19"/>
        </w:rPr>
        <w:t xml:space="preserve"> Suffolk Street Queensway, near the Mailbox.</w:t>
      </w:r>
    </w:p>
    <w:p w14:paraId="425400FA" w14:textId="77777777" w:rsidR="00C013AF" w:rsidRDefault="00411DCE">
      <w:pPr>
        <w:pStyle w:val="Heading2"/>
        <w:spacing w:before="300" w:after="150"/>
      </w:pPr>
      <w:r>
        <w:rPr>
          <w:b/>
          <w:bCs/>
          <w:color w:val="1F3864"/>
          <w:sz w:val="24"/>
          <w:szCs w:val="24"/>
        </w:rPr>
        <w:t>5.6 Cross-Cutting Observation</w:t>
      </w:r>
    </w:p>
    <w:p w14:paraId="2BB65DC6" w14:textId="23FF715E" w:rsidR="00C013AF" w:rsidRDefault="00411DCE">
      <w:pPr>
        <w:spacing w:after="180" w:line="276" w:lineRule="auto"/>
        <w:jc w:val="both"/>
      </w:pPr>
      <w:r>
        <w:rPr>
          <w:sz w:val="22"/>
          <w:szCs w:val="22"/>
        </w:rPr>
        <w:t>Three of the five highest-confidence hotspots</w:t>
      </w:r>
      <w:r>
        <w:rPr>
          <w:sz w:val="22"/>
          <w:szCs w:val="22"/>
        </w:rPr>
        <w:t xml:space="preserve"> sit directly on or immediately adjacent to Birmingham's ring-road system</w:t>
      </w:r>
      <w:r w:rsidR="00AF3032">
        <w:rPr>
          <w:sz w:val="22"/>
          <w:szCs w:val="22"/>
        </w:rPr>
        <w:t>,</w:t>
      </w:r>
      <w:r>
        <w:rPr>
          <w:sz w:val="22"/>
          <w:szCs w:val="22"/>
        </w:rPr>
        <w:t xml:space="preserve"> Small Heath High</w:t>
      </w:r>
      <w:r>
        <w:rPr>
          <w:sz w:val="22"/>
          <w:szCs w:val="22"/>
        </w:rPr>
        <w:t>way/Bordesley Middleway, Belgrave Middleway, and Suffolk Street Queensway respectively. This is consistent with the corridor-clustering pattern identified statistically in Section 4.4, and suggests that the ring-road corridor as a whole, rather than five u</w:t>
      </w:r>
      <w:r>
        <w:rPr>
          <w:sz w:val="22"/>
          <w:szCs w:val="22"/>
        </w:rPr>
        <w:t>nrelated black-spots, may warrant a coordinated corridor-level engineering review.</w:t>
      </w:r>
    </w:p>
    <w:p w14:paraId="0E383E70" w14:textId="77777777" w:rsidR="00C013AF" w:rsidRDefault="00411DCE">
      <w:r>
        <w:br w:type="page"/>
      </w:r>
    </w:p>
    <w:p w14:paraId="1EC0096F" w14:textId="77777777" w:rsidR="00C013AF" w:rsidRDefault="00411DCE">
      <w:pPr>
        <w:pStyle w:val="Heading1"/>
        <w:pBdr>
          <w:bottom w:val="single" w:sz="6" w:space="4" w:color="1F3864"/>
        </w:pBdr>
        <w:spacing w:before="400" w:after="200"/>
      </w:pPr>
      <w:r>
        <w:rPr>
          <w:b/>
          <w:bCs/>
          <w:color w:val="1F3864"/>
          <w:sz w:val="30"/>
          <w:szCs w:val="30"/>
        </w:rPr>
        <w:lastRenderedPageBreak/>
        <w:t>6. Interactive Dashboard</w:t>
      </w:r>
    </w:p>
    <w:p w14:paraId="4836AA63" w14:textId="77777777" w:rsidR="00C013AF" w:rsidRDefault="00411DCE">
      <w:pPr>
        <w:spacing w:after="180" w:line="276" w:lineRule="auto"/>
        <w:jc w:val="both"/>
      </w:pPr>
      <w:r>
        <w:rPr>
          <w:sz w:val="22"/>
          <w:szCs w:val="22"/>
        </w:rPr>
        <w:t>F</w:t>
      </w:r>
      <w:r>
        <w:rPr>
          <w:sz w:val="22"/>
          <w:szCs w:val="22"/>
        </w:rPr>
        <w:t>indings were consolidated into an interactive Power BI dashboard, enabling stakeholders to filter collision data by year, severity, and lighting condition, and to explore the spatial distribution of hotspots directly. The dashboard combines a classified p</w:t>
      </w:r>
      <w:r>
        <w:rPr>
          <w:sz w:val="22"/>
          <w:szCs w:val="22"/>
        </w:rPr>
        <w:t>oint map, year-over-year trend chart, and key performance indicators for total collisions and Killed/Seriously Injured (KSI) counts.</w:t>
      </w:r>
    </w:p>
    <w:p w14:paraId="7433613E" w14:textId="76992A69" w:rsidR="00C013AF" w:rsidRDefault="00AF3032" w:rsidP="00AF3032">
      <w:pPr>
        <w:pStyle w:val="NormalWeb"/>
      </w:pPr>
      <w:r>
        <w:rPr>
          <w:noProof/>
        </w:rPr>
        <w:drawing>
          <wp:inline distT="0" distB="0" distL="0" distR="0" wp14:anchorId="520F4C6A" wp14:editId="0964B909">
            <wp:extent cx="5934140" cy="336804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327" cy="3388011"/>
                    </a:xfrm>
                    <a:prstGeom prst="rect">
                      <a:avLst/>
                    </a:prstGeom>
                    <a:noFill/>
                    <a:ln>
                      <a:noFill/>
                    </a:ln>
                  </pic:spPr>
                </pic:pic>
              </a:graphicData>
            </a:graphic>
          </wp:inline>
        </w:drawing>
      </w:r>
    </w:p>
    <w:p w14:paraId="72267A16" w14:textId="74E3EE48" w:rsidR="00C013AF" w:rsidRDefault="00411DCE">
      <w:pPr>
        <w:spacing w:before="100" w:after="300"/>
        <w:jc w:val="center"/>
      </w:pPr>
      <w:r>
        <w:rPr>
          <w:i/>
          <w:iCs/>
          <w:color w:val="595959"/>
          <w:sz w:val="19"/>
          <w:szCs w:val="19"/>
        </w:rPr>
        <w:t>F</w:t>
      </w:r>
      <w:r>
        <w:rPr>
          <w:i/>
          <w:iCs/>
          <w:color w:val="595959"/>
          <w:sz w:val="19"/>
          <w:szCs w:val="19"/>
        </w:rPr>
        <w:t>igure 7</w:t>
      </w:r>
      <w:r w:rsidR="00AF3032">
        <w:rPr>
          <w:i/>
          <w:iCs/>
          <w:color w:val="595959"/>
          <w:sz w:val="19"/>
          <w:szCs w:val="19"/>
        </w:rPr>
        <w:t>:</w:t>
      </w:r>
      <w:r>
        <w:rPr>
          <w:i/>
          <w:iCs/>
          <w:color w:val="595959"/>
          <w:sz w:val="19"/>
          <w:szCs w:val="19"/>
        </w:rPr>
        <w:t xml:space="preserve"> Birmingham Road Crash Hotspot Dashboard (Power BI)</w:t>
      </w:r>
    </w:p>
    <w:p w14:paraId="492693DB" w14:textId="77777777" w:rsidR="00C013AF" w:rsidRDefault="00411DCE">
      <w:pPr>
        <w:spacing w:after="180" w:line="276" w:lineRule="auto"/>
        <w:jc w:val="both"/>
      </w:pPr>
      <w:r>
        <w:rPr>
          <w:sz w:val="22"/>
          <w:szCs w:val="22"/>
        </w:rPr>
        <w:t>The dashboard architecture uses a single flattened table (individual crash records pre-joined with their grid cell's hotspot classification) rather than a relational two-table model, avoiding cross-filter and cardinality issues encountered during de</w:t>
      </w:r>
      <w:r>
        <w:rPr>
          <w:sz w:val="22"/>
          <w:szCs w:val="22"/>
        </w:rPr>
        <w:t>velopment and ensuring slicers correctly propagate across all visuals.</w:t>
      </w:r>
    </w:p>
    <w:p w14:paraId="574D7717" w14:textId="178F9BF7" w:rsidR="00C013AF" w:rsidRDefault="00411DCE" w:rsidP="00AF3032">
      <w:pPr>
        <w:spacing w:after="120"/>
      </w:pPr>
      <w:r>
        <w:rPr>
          <w:b/>
          <w:bCs/>
          <w:color w:val="1F3864"/>
          <w:sz w:val="30"/>
          <w:szCs w:val="30"/>
        </w:rPr>
        <w:t>7. Recommendations</w:t>
      </w:r>
    </w:p>
    <w:p w14:paraId="51DE907C" w14:textId="41E137BB" w:rsidR="00C013AF" w:rsidRDefault="00411DCE" w:rsidP="00AF3032">
      <w:pPr>
        <w:pStyle w:val="ListParagraph"/>
        <w:numPr>
          <w:ilvl w:val="0"/>
          <w:numId w:val="2"/>
        </w:numPr>
        <w:spacing w:after="100" w:line="264" w:lineRule="auto"/>
        <w:jc w:val="both"/>
      </w:pPr>
      <w:r>
        <w:rPr>
          <w:sz w:val="22"/>
          <w:szCs w:val="22"/>
        </w:rPr>
        <w:t>C</w:t>
      </w:r>
      <w:r>
        <w:rPr>
          <w:sz w:val="22"/>
          <w:szCs w:val="22"/>
        </w:rPr>
        <w:t>ommission a full engineering safety audit of the Bordesley Circus / Small Heath Highway gyratory (Area 1) as the top priority</w:t>
      </w:r>
      <w:r w:rsidR="00AF3032">
        <w:rPr>
          <w:sz w:val="22"/>
          <w:szCs w:val="22"/>
        </w:rPr>
        <w:t>.</w:t>
      </w:r>
      <w:r>
        <w:rPr>
          <w:sz w:val="22"/>
          <w:szCs w:val="22"/>
        </w:rPr>
        <w:t xml:space="preserve"> </w:t>
      </w:r>
      <w:r w:rsidR="00AF3032">
        <w:rPr>
          <w:sz w:val="22"/>
          <w:szCs w:val="22"/>
        </w:rPr>
        <w:t>I</w:t>
      </w:r>
      <w:r>
        <w:rPr>
          <w:sz w:val="22"/>
          <w:szCs w:val="22"/>
        </w:rPr>
        <w:t>ts combination of geometric comple</w:t>
      </w:r>
      <w:r>
        <w:rPr>
          <w:sz w:val="22"/>
          <w:szCs w:val="22"/>
        </w:rPr>
        <w:t>xity, weaving demand, and high adjacent trip generation makes it the single highest-value intervention target identified in this analysis.</w:t>
      </w:r>
    </w:p>
    <w:p w14:paraId="6259CACC" w14:textId="1897B38C" w:rsidR="00C013AF" w:rsidRDefault="00411DCE" w:rsidP="00AF3032">
      <w:pPr>
        <w:pStyle w:val="ListParagraph"/>
        <w:numPr>
          <w:ilvl w:val="0"/>
          <w:numId w:val="2"/>
        </w:numPr>
        <w:spacing w:after="100" w:line="264" w:lineRule="auto"/>
        <w:jc w:val="both"/>
      </w:pPr>
      <w:r>
        <w:rPr>
          <w:sz w:val="22"/>
          <w:szCs w:val="22"/>
        </w:rPr>
        <w:t xml:space="preserve">Treat the Belgrave Middleway / Suffolk Street Queensway / Small Heath Highway ring-road corridor as a unified review </w:t>
      </w:r>
      <w:r>
        <w:rPr>
          <w:sz w:val="22"/>
          <w:szCs w:val="22"/>
        </w:rPr>
        <w:t>zone, rather than auditing Areas 1, 3, and 5 in isolation</w:t>
      </w:r>
      <w:r w:rsidR="00AF3032">
        <w:rPr>
          <w:sz w:val="22"/>
          <w:szCs w:val="22"/>
        </w:rPr>
        <w:t>.</w:t>
      </w:r>
      <w:r>
        <w:rPr>
          <w:sz w:val="22"/>
          <w:szCs w:val="22"/>
        </w:rPr>
        <w:t xml:space="preserve"> </w:t>
      </w:r>
      <w:r w:rsidR="00AF3032">
        <w:rPr>
          <w:sz w:val="22"/>
          <w:szCs w:val="22"/>
        </w:rPr>
        <w:t>B</w:t>
      </w:r>
      <w:r>
        <w:rPr>
          <w:sz w:val="22"/>
          <w:szCs w:val="22"/>
        </w:rPr>
        <w:t>oth the statistical clustering pattern</w:t>
      </w:r>
      <w:r>
        <w:rPr>
          <w:sz w:val="22"/>
          <w:szCs w:val="22"/>
        </w:rPr>
        <w:t xml:space="preserve"> and the shared ring-road context</w:t>
      </w:r>
      <w:r>
        <w:rPr>
          <w:sz w:val="22"/>
          <w:szCs w:val="22"/>
        </w:rPr>
        <w:t xml:space="preserve"> point toward corridor-level design or speed-management review.</w:t>
      </w:r>
    </w:p>
    <w:p w14:paraId="29C5E793" w14:textId="4A0D8028" w:rsidR="00C013AF" w:rsidRDefault="00411DCE" w:rsidP="00AF3032">
      <w:pPr>
        <w:pStyle w:val="ListParagraph"/>
        <w:numPr>
          <w:ilvl w:val="0"/>
          <w:numId w:val="2"/>
        </w:numPr>
        <w:spacing w:after="100" w:line="264" w:lineRule="auto"/>
        <w:jc w:val="both"/>
      </w:pPr>
      <w:r>
        <w:rPr>
          <w:sz w:val="22"/>
          <w:szCs w:val="22"/>
        </w:rPr>
        <w:t>Conduct a targeted pedestrian-sa</w:t>
      </w:r>
      <w:r>
        <w:rPr>
          <w:sz w:val="22"/>
          <w:szCs w:val="22"/>
        </w:rPr>
        <w:t>fety review at Areas 2 and 5, focused on crossing provision and signal timing near high footfall-generating land uses</w:t>
      </w:r>
      <w:r w:rsidR="00AF3032">
        <w:rPr>
          <w:sz w:val="22"/>
          <w:szCs w:val="22"/>
        </w:rPr>
        <w:t>.</w:t>
      </w:r>
      <w:r>
        <w:rPr>
          <w:sz w:val="22"/>
          <w:szCs w:val="22"/>
        </w:rPr>
        <w:t xml:space="preserve"> </w:t>
      </w:r>
      <w:r w:rsidR="00AF3032">
        <w:rPr>
          <w:sz w:val="22"/>
          <w:szCs w:val="22"/>
        </w:rPr>
        <w:t>T</w:t>
      </w:r>
      <w:r>
        <w:rPr>
          <w:sz w:val="22"/>
          <w:szCs w:val="22"/>
        </w:rPr>
        <w:t>hese sites' risk profile is pedestrian-conflict driven rather than purely geometric, so infrastructure fixes such as formal crossings a</w:t>
      </w:r>
      <w:r>
        <w:rPr>
          <w:sz w:val="22"/>
          <w:szCs w:val="22"/>
        </w:rPr>
        <w:t>nd pedestrian signal phasing are likely to outperform junction redesign alone.</w:t>
      </w:r>
    </w:p>
    <w:p w14:paraId="2851C8B9" w14:textId="3385776A" w:rsidR="00C013AF" w:rsidRDefault="00411DCE" w:rsidP="00AF3032">
      <w:pPr>
        <w:pStyle w:val="ListParagraph"/>
        <w:numPr>
          <w:ilvl w:val="0"/>
          <w:numId w:val="2"/>
        </w:numPr>
        <w:spacing w:after="100" w:line="264" w:lineRule="auto"/>
        <w:jc w:val="both"/>
      </w:pPr>
      <w:r>
        <w:rPr>
          <w:sz w:val="22"/>
          <w:szCs w:val="22"/>
        </w:rPr>
        <w:lastRenderedPageBreak/>
        <w:t>At Area 4</w:t>
      </w:r>
      <w:r>
        <w:rPr>
          <w:sz w:val="22"/>
          <w:szCs w:val="22"/>
        </w:rPr>
        <w:t xml:space="preserve">, prioritize pedestrian crossing infrastructure over lighting upgrades. Data confirmed darkness is associated with 59% of crashes at this </w:t>
      </w:r>
      <w:r>
        <w:rPr>
          <w:sz w:val="22"/>
          <w:szCs w:val="22"/>
        </w:rPr>
        <w:t>site, but street lighting is already present and functioning in nearly all of those cases, ruling out a lighting-infrastructure gap. Formal crossing points or pedestrian refuge islands near the venue cluster are the better-targeted intervention.</w:t>
      </w:r>
    </w:p>
    <w:p w14:paraId="648E1E46" w14:textId="77777777" w:rsidR="00C013AF" w:rsidRDefault="00411DCE" w:rsidP="00AF3032">
      <w:pPr>
        <w:pStyle w:val="ListParagraph"/>
        <w:numPr>
          <w:ilvl w:val="0"/>
          <w:numId w:val="2"/>
        </w:numPr>
        <w:spacing w:after="100" w:line="264" w:lineRule="auto"/>
        <w:jc w:val="both"/>
      </w:pPr>
      <w:r>
        <w:rPr>
          <w:sz w:val="22"/>
          <w:szCs w:val="22"/>
        </w:rPr>
        <w:t xml:space="preserve">Flag Area </w:t>
      </w:r>
      <w:r>
        <w:rPr>
          <w:sz w:val="22"/>
          <w:szCs w:val="22"/>
        </w:rPr>
        <w:t xml:space="preserve">3 (Parkes Avenue, near Percy </w:t>
      </w:r>
      <w:proofErr w:type="spellStart"/>
      <w:r>
        <w:rPr>
          <w:sz w:val="22"/>
          <w:szCs w:val="22"/>
        </w:rPr>
        <w:t>Shurmer</w:t>
      </w:r>
      <w:proofErr w:type="spellEnd"/>
      <w:r>
        <w:rPr>
          <w:sz w:val="22"/>
          <w:szCs w:val="22"/>
        </w:rPr>
        <w:t xml:space="preserve"> Primary School) for a dedicated school-zone safety assessment, given the combination of ring-road-adjacent traffic speeds and school catchment proximity.</w:t>
      </w:r>
    </w:p>
    <w:p w14:paraId="3B2C3EB1" w14:textId="570EAF3B" w:rsidR="00C013AF" w:rsidRDefault="00411DCE" w:rsidP="00AF3032">
      <w:pPr>
        <w:pStyle w:val="ListParagraph"/>
        <w:numPr>
          <w:ilvl w:val="0"/>
          <w:numId w:val="2"/>
        </w:numPr>
        <w:spacing w:after="100" w:line="264" w:lineRule="auto"/>
        <w:jc w:val="both"/>
      </w:pPr>
      <w:r>
        <w:rPr>
          <w:sz w:val="22"/>
          <w:szCs w:val="22"/>
        </w:rPr>
        <w:t>Investigat</w:t>
      </w:r>
      <w:r w:rsidR="00AF3032">
        <w:rPr>
          <w:sz w:val="22"/>
          <w:szCs w:val="22"/>
        </w:rPr>
        <w:t>e</w:t>
      </w:r>
      <w:r>
        <w:rPr>
          <w:sz w:val="22"/>
          <w:szCs w:val="22"/>
        </w:rPr>
        <w:t xml:space="preserve"> the rising serious-injury trend</w:t>
      </w:r>
      <w:r>
        <w:rPr>
          <w:sz w:val="22"/>
          <w:szCs w:val="22"/>
        </w:rPr>
        <w:t xml:space="preserve"> indepen</w:t>
      </w:r>
      <w:r>
        <w:rPr>
          <w:sz w:val="22"/>
          <w:szCs w:val="22"/>
        </w:rPr>
        <w:t>dently from overall crash volume</w:t>
      </w:r>
      <w:r w:rsidR="00AF3032">
        <w:rPr>
          <w:sz w:val="22"/>
          <w:szCs w:val="22"/>
        </w:rPr>
        <w:t>. T</w:t>
      </w:r>
      <w:r>
        <w:rPr>
          <w:sz w:val="22"/>
          <w:szCs w:val="22"/>
        </w:rPr>
        <w:t>he disproportionate increase in serious-severity outcomes relative to total volume may reflect changes in vehicle mix, speed, or road-user behaviour warranting separate analysis.</w:t>
      </w:r>
    </w:p>
    <w:p w14:paraId="2B6DEF48" w14:textId="066D2307" w:rsidR="00C013AF" w:rsidRDefault="00411DCE" w:rsidP="00AF3032">
      <w:pPr>
        <w:pStyle w:val="ListParagraph"/>
        <w:numPr>
          <w:ilvl w:val="0"/>
          <w:numId w:val="2"/>
        </w:numPr>
        <w:spacing w:after="100" w:line="264" w:lineRule="auto"/>
        <w:jc w:val="both"/>
      </w:pPr>
      <w:r>
        <w:rPr>
          <w:sz w:val="22"/>
          <w:szCs w:val="22"/>
        </w:rPr>
        <w:t>Cross-reference all five priority sites a</w:t>
      </w:r>
      <w:r>
        <w:rPr>
          <w:sz w:val="22"/>
          <w:szCs w:val="22"/>
        </w:rPr>
        <w:t>gainst planned infrastructure works</w:t>
      </w:r>
      <w:r w:rsidR="00AF3032">
        <w:rPr>
          <w:sz w:val="22"/>
          <w:szCs w:val="22"/>
        </w:rPr>
        <w:t xml:space="preserve">, </w:t>
      </w:r>
      <w:r>
        <w:rPr>
          <w:sz w:val="22"/>
          <w:szCs w:val="22"/>
        </w:rPr>
        <w:t>where hotspot locations overlap with roads already scheduled for resurfacing, signal upgrades, or redesign, safety improvements could be bundled into existing capital projects at lower marginal cost.</w:t>
      </w:r>
    </w:p>
    <w:p w14:paraId="087149CE" w14:textId="341F777B" w:rsidR="00C013AF" w:rsidRDefault="00411DCE" w:rsidP="00AF3032">
      <w:pPr>
        <w:spacing w:after="120"/>
      </w:pPr>
      <w:r>
        <w:rPr>
          <w:b/>
          <w:bCs/>
          <w:color w:val="1F3864"/>
          <w:sz w:val="30"/>
          <w:szCs w:val="30"/>
        </w:rPr>
        <w:t>8. Limitations</w:t>
      </w:r>
    </w:p>
    <w:p w14:paraId="7D29130A" w14:textId="1FAC0D1C" w:rsidR="00C013AF" w:rsidRDefault="00411DCE" w:rsidP="00AF3032">
      <w:pPr>
        <w:pStyle w:val="ListParagraph"/>
        <w:numPr>
          <w:ilvl w:val="0"/>
          <w:numId w:val="2"/>
        </w:numPr>
        <w:spacing w:after="100" w:line="264" w:lineRule="auto"/>
        <w:jc w:val="both"/>
      </w:pPr>
      <w:r>
        <w:rPr>
          <w:sz w:val="22"/>
          <w:szCs w:val="22"/>
        </w:rPr>
        <w:t>G</w:t>
      </w:r>
      <w:r>
        <w:rPr>
          <w:sz w:val="22"/>
          <w:szCs w:val="22"/>
        </w:rPr>
        <w:t>rid-based aggregation (500m cells) necessarily smooths some spatial precision</w:t>
      </w:r>
      <w:r w:rsidR="00AF3032">
        <w:rPr>
          <w:sz w:val="22"/>
          <w:szCs w:val="22"/>
        </w:rPr>
        <w:t>.</w:t>
      </w:r>
      <w:r>
        <w:rPr>
          <w:sz w:val="22"/>
          <w:szCs w:val="22"/>
        </w:rPr>
        <w:t xml:space="preserve"> </w:t>
      </w:r>
      <w:r w:rsidR="00AF3032">
        <w:rPr>
          <w:sz w:val="22"/>
          <w:szCs w:val="22"/>
        </w:rPr>
        <w:t>A</w:t>
      </w:r>
      <w:r>
        <w:rPr>
          <w:sz w:val="22"/>
          <w:szCs w:val="22"/>
        </w:rPr>
        <w:t xml:space="preserve"> crash at a specific junction and a crash several hundred metres down the same road may fall within the same cell.</w:t>
      </w:r>
    </w:p>
    <w:p w14:paraId="2BCC511C" w14:textId="37A41F8B" w:rsidR="00C013AF" w:rsidRDefault="00411DCE" w:rsidP="00AF3032">
      <w:pPr>
        <w:pStyle w:val="ListParagraph"/>
        <w:numPr>
          <w:ilvl w:val="0"/>
          <w:numId w:val="2"/>
        </w:numPr>
        <w:spacing w:after="100" w:line="264" w:lineRule="auto"/>
        <w:jc w:val="both"/>
      </w:pPr>
      <w:r>
        <w:rPr>
          <w:sz w:val="22"/>
          <w:szCs w:val="22"/>
        </w:rPr>
        <w:t>STATS19 records only collisions reported to and recorded by</w:t>
      </w:r>
      <w:r>
        <w:rPr>
          <w:sz w:val="22"/>
          <w:szCs w:val="22"/>
        </w:rPr>
        <w:t xml:space="preserve"> police</w:t>
      </w:r>
      <w:r w:rsidR="00D152E8">
        <w:rPr>
          <w:sz w:val="22"/>
          <w:szCs w:val="22"/>
        </w:rPr>
        <w:t>.</w:t>
      </w:r>
      <w:r>
        <w:rPr>
          <w:sz w:val="22"/>
          <w:szCs w:val="22"/>
        </w:rPr>
        <w:t xml:space="preserve"> </w:t>
      </w:r>
      <w:r w:rsidR="00D152E8">
        <w:rPr>
          <w:sz w:val="22"/>
          <w:szCs w:val="22"/>
        </w:rPr>
        <w:t>N</w:t>
      </w:r>
      <w:r>
        <w:rPr>
          <w:sz w:val="22"/>
          <w:szCs w:val="22"/>
        </w:rPr>
        <w:t>ear-misses and unreported minor incidents are not captured, and under-reporting is a known, non-uniform limitation of police-recorded collision data generally.</w:t>
      </w:r>
    </w:p>
    <w:p w14:paraId="585056FE" w14:textId="77777777" w:rsidR="00C013AF" w:rsidRDefault="00411DCE" w:rsidP="00AF3032">
      <w:pPr>
        <w:pStyle w:val="ListParagraph"/>
        <w:numPr>
          <w:ilvl w:val="0"/>
          <w:numId w:val="2"/>
        </w:numPr>
        <w:spacing w:after="100" w:line="264" w:lineRule="auto"/>
        <w:jc w:val="both"/>
      </w:pPr>
      <w:r>
        <w:rPr>
          <w:sz w:val="22"/>
          <w:szCs w:val="22"/>
        </w:rPr>
        <w:t>This analysis is diagnostic (identifying where and, through site review, offering plau</w:t>
      </w:r>
      <w:r>
        <w:rPr>
          <w:sz w:val="22"/>
          <w:szCs w:val="22"/>
        </w:rPr>
        <w:t>sible explanations of why) rather than strictly causal. Site-level findings in Section 5 are observational and would benefit from formal traffic engineering site visits and count data before being treated as conclusive.</w:t>
      </w:r>
    </w:p>
    <w:p w14:paraId="1D26347A" w14:textId="77777777" w:rsidR="00C013AF" w:rsidRDefault="00411DCE" w:rsidP="00AF3032">
      <w:pPr>
        <w:pStyle w:val="ListParagraph"/>
        <w:numPr>
          <w:ilvl w:val="0"/>
          <w:numId w:val="2"/>
        </w:numPr>
        <w:spacing w:after="100" w:line="264" w:lineRule="auto"/>
        <w:jc w:val="both"/>
      </w:pPr>
      <w:r>
        <w:rPr>
          <w:sz w:val="22"/>
          <w:szCs w:val="22"/>
        </w:rPr>
        <w:t xml:space="preserve">2025 collision data was unavailable </w:t>
      </w:r>
      <w:r>
        <w:rPr>
          <w:sz w:val="22"/>
          <w:szCs w:val="22"/>
        </w:rPr>
        <w:t>as final, validated STATS19 output at the time of analysis; final 2025 data is expected to be published in July 2026.</w:t>
      </w:r>
    </w:p>
    <w:p w14:paraId="5DB7FCDE" w14:textId="443A3293" w:rsidR="00C013AF" w:rsidRDefault="00411DCE" w:rsidP="00AF3032">
      <w:pPr>
        <w:pStyle w:val="ListParagraph"/>
        <w:numPr>
          <w:ilvl w:val="0"/>
          <w:numId w:val="2"/>
        </w:numPr>
        <w:spacing w:after="100" w:line="264" w:lineRule="auto"/>
        <w:jc w:val="both"/>
      </w:pPr>
      <w:r>
        <w:rPr>
          <w:sz w:val="22"/>
          <w:szCs w:val="22"/>
        </w:rPr>
        <w:t>The 500m grid cell size, while defensible, is one methodological choice among several reasonable alternatives</w:t>
      </w:r>
      <w:r w:rsidR="00D152E8">
        <w:rPr>
          <w:sz w:val="22"/>
          <w:szCs w:val="22"/>
        </w:rPr>
        <w:t>.</w:t>
      </w:r>
      <w:r>
        <w:rPr>
          <w:sz w:val="22"/>
          <w:szCs w:val="22"/>
        </w:rPr>
        <w:t xml:space="preserve"> </w:t>
      </w:r>
      <w:r w:rsidR="00D152E8">
        <w:rPr>
          <w:sz w:val="22"/>
          <w:szCs w:val="22"/>
        </w:rPr>
        <w:t>A</w:t>
      </w:r>
      <w:r>
        <w:rPr>
          <w:sz w:val="22"/>
          <w:szCs w:val="22"/>
        </w:rPr>
        <w:t xml:space="preserve"> sensitivity </w:t>
      </w:r>
      <w:proofErr w:type="gramStart"/>
      <w:r>
        <w:rPr>
          <w:sz w:val="22"/>
          <w:szCs w:val="22"/>
        </w:rPr>
        <w:t>check</w:t>
      </w:r>
      <w:proofErr w:type="gramEnd"/>
      <w:r>
        <w:rPr>
          <w:sz w:val="22"/>
          <w:szCs w:val="22"/>
        </w:rPr>
        <w:t xml:space="preserve"> at 250m</w:t>
      </w:r>
      <w:r>
        <w:rPr>
          <w:sz w:val="22"/>
          <w:szCs w:val="22"/>
        </w:rPr>
        <w:t xml:space="preserve"> or 1km resolution was outside the scope of this project but would strengthen future iterations.</w:t>
      </w:r>
    </w:p>
    <w:p w14:paraId="43595DA0" w14:textId="7D77DC06" w:rsidR="00C013AF" w:rsidRDefault="00411DCE" w:rsidP="00D152E8">
      <w:pPr>
        <w:spacing w:after="120"/>
      </w:pPr>
      <w:r>
        <w:rPr>
          <w:b/>
          <w:bCs/>
          <w:color w:val="1F3864"/>
          <w:sz w:val="30"/>
          <w:szCs w:val="30"/>
        </w:rPr>
        <w:t>9. Conclusion</w:t>
      </w:r>
    </w:p>
    <w:p w14:paraId="3ADBC674" w14:textId="40C8E59B" w:rsidR="00C013AF" w:rsidRDefault="00602D60" w:rsidP="00602D60">
      <w:pPr>
        <w:spacing w:after="180" w:line="276" w:lineRule="auto"/>
        <w:jc w:val="both"/>
      </w:pPr>
      <w:r>
        <w:rPr>
          <w:sz w:val="22"/>
          <w:szCs w:val="22"/>
        </w:rPr>
        <w:t>This project set out to identify statistically significant road crash hotspots in Birmingham (2020</w:t>
      </w:r>
      <w:r>
        <w:rPr>
          <w:sz w:val="22"/>
          <w:szCs w:val="22"/>
        </w:rPr>
        <w:t xml:space="preserve"> - </w:t>
      </w:r>
      <w:r>
        <w:rPr>
          <w:sz w:val="22"/>
          <w:szCs w:val="22"/>
        </w:rPr>
        <w:t>2024) and translate them into actionable, engineering-grounded recommendations. The process moved through five stages</w:t>
      </w:r>
      <w:r>
        <w:rPr>
          <w:sz w:val="22"/>
          <w:szCs w:val="22"/>
        </w:rPr>
        <w:t>,</w:t>
      </w:r>
      <w:r>
        <w:rPr>
          <w:sz w:val="22"/>
          <w:szCs w:val="22"/>
        </w:rPr>
        <w:t xml:space="preserve"> cleaning and geocoding 10,817 STATS19 collision records in Python; aggregating them onto a 500m grid; confirming genuine spatial clustering with Moran's I; pinpointing significant hotspot cells with </w:t>
      </w:r>
      <w:proofErr w:type="spellStart"/>
      <w:r>
        <w:rPr>
          <w:sz w:val="22"/>
          <w:szCs w:val="22"/>
        </w:rPr>
        <w:t>Getis</w:t>
      </w:r>
      <w:proofErr w:type="spellEnd"/>
      <w:r>
        <w:rPr>
          <w:sz w:val="22"/>
          <w:szCs w:val="22"/>
        </w:rPr>
        <w:t>-Ord Gi*; and grounding the five highest-confidence hotspots in real-world site context through satellite and street-level review.</w:t>
      </w:r>
      <w:r>
        <w:t xml:space="preserve"> </w:t>
      </w:r>
      <w:r>
        <w:rPr>
          <w:sz w:val="22"/>
          <w:szCs w:val="22"/>
        </w:rPr>
        <w:t>The results were clear and actionable. Crashes are strongly and non-randomly clustered (Moran's I = 0.56, p = 0.001), with 105 grid cells (5.5% of the study area) accounting for roughly 35% of all recorded collisions. Three of the five priority hotspots sit on Birmingham's ring-road corridor, pointing to a corridor-level rather than purely site-level problem</w:t>
      </w:r>
      <w:r>
        <w:rPr>
          <w:sz w:val="22"/>
          <w:szCs w:val="22"/>
        </w:rPr>
        <w:t>.</w:t>
      </w:r>
      <w:r>
        <w:rPr>
          <w:sz w:val="22"/>
          <w:szCs w:val="22"/>
        </w:rPr>
        <w:t xml:space="preserve"> </w:t>
      </w:r>
      <w:r>
        <w:rPr>
          <w:sz w:val="22"/>
          <w:szCs w:val="22"/>
        </w:rPr>
        <w:t>A</w:t>
      </w:r>
      <w:r>
        <w:rPr>
          <w:sz w:val="22"/>
          <w:szCs w:val="22"/>
        </w:rPr>
        <w:t xml:space="preserve"> data check at the Lower Essex Street hotspot showed the value of testing assumptions against evidence</w:t>
      </w:r>
      <w:r>
        <w:rPr>
          <w:sz w:val="22"/>
          <w:szCs w:val="22"/>
        </w:rPr>
        <w:t>,</w:t>
      </w:r>
      <w:r>
        <w:rPr>
          <w:sz w:val="22"/>
          <w:szCs w:val="22"/>
        </w:rPr>
        <w:t xml:space="preserve"> revising an initial nightlife-driven hypothesis into a more precise winter-dusk, pedestrian-crossing finding.</w:t>
      </w:r>
      <w:r>
        <w:t xml:space="preserve"> </w:t>
      </w:r>
      <w:r>
        <w:rPr>
          <w:sz w:val="22"/>
          <w:szCs w:val="22"/>
        </w:rPr>
        <w:t>Delivered through a full analytics stack</w:t>
      </w:r>
      <w:r>
        <w:rPr>
          <w:sz w:val="22"/>
          <w:szCs w:val="22"/>
        </w:rPr>
        <w:t xml:space="preserve">, </w:t>
      </w:r>
      <w:r>
        <w:rPr>
          <w:sz w:val="22"/>
          <w:szCs w:val="22"/>
        </w:rPr>
        <w:t>Python, SQL, QGIS, and Power BI</w:t>
      </w:r>
      <w:r>
        <w:rPr>
          <w:sz w:val="22"/>
          <w:szCs w:val="22"/>
        </w:rPr>
        <w:t xml:space="preserve">, </w:t>
      </w:r>
      <w:r>
        <w:rPr>
          <w:sz w:val="22"/>
          <w:szCs w:val="22"/>
        </w:rPr>
        <w:t>this project demonstrates both technical range and the kind of applied engineering judgement needed to turn statistical output into practical safety recommendations.</w:t>
      </w:r>
      <w:r w:rsidR="00411DCE">
        <w:br w:type="page"/>
      </w:r>
    </w:p>
    <w:p w14:paraId="1C592F4D" w14:textId="09CCB711" w:rsidR="00C013AF" w:rsidRDefault="00411DCE">
      <w:pPr>
        <w:pStyle w:val="Heading1"/>
        <w:pBdr>
          <w:bottom w:val="single" w:sz="6" w:space="4" w:color="1F3864"/>
        </w:pBdr>
        <w:spacing w:before="400" w:after="200"/>
      </w:pPr>
      <w:r>
        <w:rPr>
          <w:b/>
          <w:bCs/>
          <w:color w:val="1F3864"/>
          <w:sz w:val="30"/>
          <w:szCs w:val="30"/>
        </w:rPr>
        <w:lastRenderedPageBreak/>
        <w:t xml:space="preserve">Appendix A </w:t>
      </w:r>
      <w:r w:rsidR="00894CB8">
        <w:rPr>
          <w:b/>
          <w:bCs/>
          <w:color w:val="1F3864"/>
          <w:sz w:val="30"/>
          <w:szCs w:val="30"/>
        </w:rPr>
        <w:t>-</w:t>
      </w:r>
      <w:r>
        <w:rPr>
          <w:b/>
          <w:bCs/>
          <w:color w:val="1F3864"/>
          <w:sz w:val="30"/>
          <w:szCs w:val="30"/>
        </w:rPr>
        <w:t xml:space="preserve"> Tool Stack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C013AF" w14:paraId="54C263E6" w14:textId="77777777">
        <w:tblPrEx>
          <w:tblCellMar>
            <w:top w:w="0" w:type="dxa"/>
            <w:bottom w:w="0" w:type="dxa"/>
          </w:tblCellMar>
        </w:tblPrEx>
        <w:tc>
          <w:tcPr>
            <w:tcW w:w="1500" w:type="pct"/>
            <w:shd w:val="clear" w:color="auto" w:fill="1F3864"/>
            <w:tcMar>
              <w:top w:w="80" w:type="dxa"/>
              <w:left w:w="100" w:type="dxa"/>
              <w:bottom w:w="80" w:type="dxa"/>
              <w:right w:w="100" w:type="dxa"/>
            </w:tcMar>
            <w:vAlign w:val="center"/>
          </w:tcPr>
          <w:p w14:paraId="24786AAD" w14:textId="77777777" w:rsidR="00C013AF" w:rsidRDefault="00411DCE">
            <w:r>
              <w:rPr>
                <w:b/>
                <w:bCs/>
                <w:color w:val="FFFFFF"/>
              </w:rPr>
              <w:t>Tool</w:t>
            </w:r>
          </w:p>
        </w:tc>
        <w:tc>
          <w:tcPr>
            <w:tcW w:w="3500" w:type="pct"/>
            <w:shd w:val="clear" w:color="auto" w:fill="1F3864"/>
            <w:tcMar>
              <w:top w:w="80" w:type="dxa"/>
              <w:left w:w="100" w:type="dxa"/>
              <w:bottom w:w="80" w:type="dxa"/>
              <w:right w:w="100" w:type="dxa"/>
            </w:tcMar>
            <w:vAlign w:val="center"/>
          </w:tcPr>
          <w:p w14:paraId="3AA13030" w14:textId="77777777" w:rsidR="00C013AF" w:rsidRDefault="00411DCE">
            <w:r>
              <w:rPr>
                <w:b/>
                <w:bCs/>
                <w:color w:val="FFFFFF"/>
              </w:rPr>
              <w:t>Application in This Project</w:t>
            </w:r>
          </w:p>
        </w:tc>
      </w:tr>
      <w:tr w:rsidR="00C013AF" w14:paraId="58CC5CB9" w14:textId="77777777">
        <w:tblPrEx>
          <w:tblCellMar>
            <w:top w:w="0" w:type="dxa"/>
            <w:bottom w:w="0" w:type="dxa"/>
          </w:tblCellMar>
        </w:tblPrEx>
        <w:tc>
          <w:tcPr>
            <w:tcW w:w="1250" w:type="pct"/>
            <w:tcMar>
              <w:top w:w="80" w:type="dxa"/>
              <w:left w:w="100" w:type="dxa"/>
              <w:bottom w:w="80" w:type="dxa"/>
              <w:right w:w="100" w:type="dxa"/>
            </w:tcMar>
            <w:vAlign w:val="center"/>
          </w:tcPr>
          <w:p w14:paraId="407F4CD1" w14:textId="77777777" w:rsidR="00C013AF" w:rsidRDefault="00411DCE">
            <w:r>
              <w:rPr>
                <w:color w:val="000000"/>
              </w:rPr>
              <w:t>Python</w:t>
            </w:r>
          </w:p>
        </w:tc>
        <w:tc>
          <w:tcPr>
            <w:tcW w:w="1250" w:type="pct"/>
            <w:shd w:val="clear" w:color="auto" w:fill="F2F2F2"/>
            <w:tcMar>
              <w:top w:w="80" w:type="dxa"/>
              <w:left w:w="100" w:type="dxa"/>
              <w:bottom w:w="80" w:type="dxa"/>
              <w:right w:w="100" w:type="dxa"/>
            </w:tcMar>
            <w:vAlign w:val="center"/>
          </w:tcPr>
          <w:p w14:paraId="6EB2B4BB" w14:textId="77777777" w:rsidR="00C013AF" w:rsidRDefault="00411DCE" w:rsidP="00D152E8">
            <w:pPr>
              <w:jc w:val="both"/>
            </w:pPr>
            <w:r>
              <w:rPr>
                <w:color w:val="000000"/>
              </w:rPr>
              <w:t>Data cleanin</w:t>
            </w:r>
            <w:r>
              <w:rPr>
                <w:color w:val="000000"/>
              </w:rPr>
              <w:t xml:space="preserve">g, geocoding, spatial join, Moran's I, </w:t>
            </w:r>
            <w:proofErr w:type="spellStart"/>
            <w:r>
              <w:rPr>
                <w:color w:val="000000"/>
              </w:rPr>
              <w:t>Getis</w:t>
            </w:r>
            <w:proofErr w:type="spellEnd"/>
            <w:r>
              <w:rPr>
                <w:color w:val="000000"/>
              </w:rPr>
              <w:t>-Ord Gi*, CSV/</w:t>
            </w:r>
            <w:proofErr w:type="spellStart"/>
            <w:r>
              <w:rPr>
                <w:color w:val="000000"/>
              </w:rPr>
              <w:t>GeoPackage</w:t>
            </w:r>
            <w:proofErr w:type="spellEnd"/>
            <w:r>
              <w:rPr>
                <w:color w:val="000000"/>
              </w:rPr>
              <w:t xml:space="preserve"> export</w:t>
            </w:r>
          </w:p>
        </w:tc>
      </w:tr>
      <w:tr w:rsidR="00C013AF" w14:paraId="159391FE" w14:textId="77777777">
        <w:tblPrEx>
          <w:tblCellMar>
            <w:top w:w="0" w:type="dxa"/>
            <w:bottom w:w="0" w:type="dxa"/>
          </w:tblCellMar>
        </w:tblPrEx>
        <w:tc>
          <w:tcPr>
            <w:tcW w:w="1250" w:type="pct"/>
            <w:tcMar>
              <w:top w:w="80" w:type="dxa"/>
              <w:left w:w="100" w:type="dxa"/>
              <w:bottom w:w="80" w:type="dxa"/>
              <w:right w:w="100" w:type="dxa"/>
            </w:tcMar>
            <w:vAlign w:val="center"/>
          </w:tcPr>
          <w:p w14:paraId="330E098A" w14:textId="77777777" w:rsidR="00C013AF" w:rsidRDefault="00411DCE">
            <w:r>
              <w:rPr>
                <w:color w:val="000000"/>
              </w:rPr>
              <w:t>SQL (SQLite)</w:t>
            </w:r>
          </w:p>
        </w:tc>
        <w:tc>
          <w:tcPr>
            <w:tcW w:w="1250" w:type="pct"/>
            <w:tcMar>
              <w:top w:w="80" w:type="dxa"/>
              <w:left w:w="100" w:type="dxa"/>
              <w:bottom w:w="80" w:type="dxa"/>
              <w:right w:w="100" w:type="dxa"/>
            </w:tcMar>
            <w:vAlign w:val="center"/>
          </w:tcPr>
          <w:p w14:paraId="3C90AEED" w14:textId="77777777" w:rsidR="00C013AF" w:rsidRDefault="00411DCE" w:rsidP="00D152E8">
            <w:pPr>
              <w:jc w:val="both"/>
            </w:pPr>
            <w:r>
              <w:rPr>
                <w:color w:val="000000"/>
              </w:rPr>
              <w:t>Structured storage and querying of the cleaned collision dataset</w:t>
            </w:r>
          </w:p>
        </w:tc>
      </w:tr>
      <w:tr w:rsidR="00C013AF" w14:paraId="66B27A04" w14:textId="77777777">
        <w:tblPrEx>
          <w:tblCellMar>
            <w:top w:w="0" w:type="dxa"/>
            <w:bottom w:w="0" w:type="dxa"/>
          </w:tblCellMar>
        </w:tblPrEx>
        <w:tc>
          <w:tcPr>
            <w:tcW w:w="1250" w:type="pct"/>
            <w:tcMar>
              <w:top w:w="80" w:type="dxa"/>
              <w:left w:w="100" w:type="dxa"/>
              <w:bottom w:w="80" w:type="dxa"/>
              <w:right w:w="100" w:type="dxa"/>
            </w:tcMar>
            <w:vAlign w:val="center"/>
          </w:tcPr>
          <w:p w14:paraId="59547338" w14:textId="77777777" w:rsidR="00C013AF" w:rsidRDefault="00411DCE">
            <w:r>
              <w:rPr>
                <w:color w:val="000000"/>
              </w:rPr>
              <w:t>QGIS</w:t>
            </w:r>
          </w:p>
        </w:tc>
        <w:tc>
          <w:tcPr>
            <w:tcW w:w="1250" w:type="pct"/>
            <w:shd w:val="clear" w:color="auto" w:fill="F2F2F2"/>
            <w:tcMar>
              <w:top w:w="80" w:type="dxa"/>
              <w:left w:w="100" w:type="dxa"/>
              <w:bottom w:w="80" w:type="dxa"/>
              <w:right w:w="100" w:type="dxa"/>
            </w:tcMar>
            <w:vAlign w:val="center"/>
          </w:tcPr>
          <w:p w14:paraId="17D52328" w14:textId="77777777" w:rsidR="00C013AF" w:rsidRDefault="00411DCE" w:rsidP="00D152E8">
            <w:pPr>
              <w:jc w:val="both"/>
            </w:pPr>
            <w:r>
              <w:rPr>
                <w:color w:val="000000"/>
              </w:rPr>
              <w:t>Kernel density visualization, cartographic map production, print layout</w:t>
            </w:r>
          </w:p>
        </w:tc>
      </w:tr>
      <w:tr w:rsidR="00C013AF" w14:paraId="4B03F6AB" w14:textId="77777777">
        <w:tblPrEx>
          <w:tblCellMar>
            <w:top w:w="0" w:type="dxa"/>
            <w:bottom w:w="0" w:type="dxa"/>
          </w:tblCellMar>
        </w:tblPrEx>
        <w:tc>
          <w:tcPr>
            <w:tcW w:w="1250" w:type="pct"/>
            <w:tcMar>
              <w:top w:w="80" w:type="dxa"/>
              <w:left w:w="100" w:type="dxa"/>
              <w:bottom w:w="80" w:type="dxa"/>
              <w:right w:w="100" w:type="dxa"/>
            </w:tcMar>
            <w:vAlign w:val="center"/>
          </w:tcPr>
          <w:p w14:paraId="67FFC60A" w14:textId="77777777" w:rsidR="00C013AF" w:rsidRDefault="00411DCE">
            <w:r>
              <w:rPr>
                <w:color w:val="000000"/>
              </w:rPr>
              <w:t>Power BI</w:t>
            </w:r>
          </w:p>
        </w:tc>
        <w:tc>
          <w:tcPr>
            <w:tcW w:w="1250" w:type="pct"/>
            <w:tcMar>
              <w:top w:w="80" w:type="dxa"/>
              <w:left w:w="100" w:type="dxa"/>
              <w:bottom w:w="80" w:type="dxa"/>
              <w:right w:w="100" w:type="dxa"/>
            </w:tcMar>
            <w:vAlign w:val="center"/>
          </w:tcPr>
          <w:p w14:paraId="5A5D5EA0" w14:textId="77777777" w:rsidR="00C013AF" w:rsidRDefault="00411DCE" w:rsidP="00D152E8">
            <w:pPr>
              <w:jc w:val="both"/>
            </w:pPr>
            <w:r>
              <w:rPr>
                <w:color w:val="000000"/>
              </w:rPr>
              <w:t>Interactive dashboard: hotspot map, KPI cards, year/severity/lighting slicers</w:t>
            </w:r>
          </w:p>
        </w:tc>
      </w:tr>
      <w:tr w:rsidR="00C013AF" w14:paraId="72014C93" w14:textId="77777777">
        <w:tblPrEx>
          <w:tblCellMar>
            <w:top w:w="0" w:type="dxa"/>
            <w:bottom w:w="0" w:type="dxa"/>
          </w:tblCellMar>
        </w:tblPrEx>
        <w:tc>
          <w:tcPr>
            <w:tcW w:w="1250" w:type="pct"/>
            <w:tcMar>
              <w:top w:w="80" w:type="dxa"/>
              <w:left w:w="100" w:type="dxa"/>
              <w:bottom w:w="80" w:type="dxa"/>
              <w:right w:w="100" w:type="dxa"/>
            </w:tcMar>
            <w:vAlign w:val="center"/>
          </w:tcPr>
          <w:p w14:paraId="721AD017" w14:textId="77777777" w:rsidR="00C013AF" w:rsidRDefault="00411DCE">
            <w:r>
              <w:rPr>
                <w:color w:val="000000"/>
              </w:rPr>
              <w:t>Microsoft Excel</w:t>
            </w:r>
          </w:p>
        </w:tc>
        <w:tc>
          <w:tcPr>
            <w:tcW w:w="1250" w:type="pct"/>
            <w:shd w:val="clear" w:color="auto" w:fill="F2F2F2"/>
            <w:tcMar>
              <w:top w:w="80" w:type="dxa"/>
              <w:left w:w="100" w:type="dxa"/>
              <w:bottom w:w="80" w:type="dxa"/>
              <w:right w:w="100" w:type="dxa"/>
            </w:tcMar>
            <w:vAlign w:val="center"/>
          </w:tcPr>
          <w:p w14:paraId="09ADF79F" w14:textId="77777777" w:rsidR="00C013AF" w:rsidRDefault="00411DCE" w:rsidP="00D152E8">
            <w:pPr>
              <w:jc w:val="both"/>
            </w:pPr>
            <w:r>
              <w:rPr>
                <w:color w:val="000000"/>
              </w:rPr>
              <w:t>Exploratory summary checks and quick pivot validation throughout the pipeline</w:t>
            </w:r>
          </w:p>
        </w:tc>
      </w:tr>
    </w:tbl>
    <w:p w14:paraId="5530ACAE" w14:textId="12C3549E" w:rsidR="00C013AF" w:rsidRDefault="00411DCE">
      <w:pPr>
        <w:pStyle w:val="Heading1"/>
        <w:pBdr>
          <w:bottom w:val="single" w:sz="6" w:space="4" w:color="1F3864"/>
        </w:pBdr>
        <w:spacing w:before="400" w:after="200"/>
      </w:pPr>
      <w:r>
        <w:rPr>
          <w:b/>
          <w:bCs/>
          <w:color w:val="1F3864"/>
          <w:sz w:val="30"/>
          <w:szCs w:val="30"/>
        </w:rPr>
        <w:t xml:space="preserve">Appendix B </w:t>
      </w:r>
      <w:r w:rsidR="00894CB8">
        <w:rPr>
          <w:b/>
          <w:bCs/>
          <w:color w:val="1F3864"/>
          <w:sz w:val="30"/>
          <w:szCs w:val="30"/>
        </w:rPr>
        <w:t>-</w:t>
      </w:r>
      <w:r>
        <w:rPr>
          <w:b/>
          <w:bCs/>
          <w:color w:val="1F3864"/>
          <w:sz w:val="30"/>
          <w:szCs w:val="30"/>
        </w:rPr>
        <w:t xml:space="preserve"> STATS19 Coding Reference</w:t>
      </w:r>
    </w:p>
    <w:p w14:paraId="475D6AC6" w14:textId="77777777" w:rsidR="00C013AF" w:rsidRDefault="00411DCE">
      <w:pPr>
        <w:pStyle w:val="Heading3"/>
        <w:spacing w:before="200" w:after="100"/>
      </w:pPr>
      <w:r>
        <w:rPr>
          <w:b/>
          <w:bCs/>
          <w:color w:val="C00000"/>
          <w:sz w:val="22"/>
          <w:szCs w:val="22"/>
        </w:rPr>
        <w:t>Collision Severity</w:t>
      </w:r>
    </w:p>
    <w:p w14:paraId="65D6066B" w14:textId="27844DF8" w:rsidR="00C013AF" w:rsidRDefault="00411DCE">
      <w:pPr>
        <w:pStyle w:val="ListParagraph"/>
        <w:numPr>
          <w:ilvl w:val="0"/>
          <w:numId w:val="2"/>
        </w:numPr>
        <w:spacing w:after="100" w:line="264" w:lineRule="auto"/>
      </w:pPr>
      <w:r>
        <w:rPr>
          <w:sz w:val="22"/>
          <w:szCs w:val="22"/>
        </w:rPr>
        <w:t xml:space="preserve">1 </w:t>
      </w:r>
      <w:r w:rsidR="00894CB8">
        <w:rPr>
          <w:sz w:val="22"/>
          <w:szCs w:val="22"/>
        </w:rPr>
        <w:t xml:space="preserve">- </w:t>
      </w:r>
      <w:r>
        <w:rPr>
          <w:sz w:val="22"/>
          <w:szCs w:val="22"/>
        </w:rPr>
        <w:t>Fatal</w:t>
      </w:r>
    </w:p>
    <w:p w14:paraId="5EC12491" w14:textId="0D0ECAF4" w:rsidR="00C013AF" w:rsidRDefault="00411DCE">
      <w:pPr>
        <w:pStyle w:val="ListParagraph"/>
        <w:numPr>
          <w:ilvl w:val="0"/>
          <w:numId w:val="2"/>
        </w:numPr>
        <w:spacing w:after="100" w:line="264" w:lineRule="auto"/>
      </w:pPr>
      <w:r>
        <w:rPr>
          <w:sz w:val="22"/>
          <w:szCs w:val="22"/>
        </w:rPr>
        <w:t xml:space="preserve">2 </w:t>
      </w:r>
      <w:r w:rsidR="00894CB8">
        <w:rPr>
          <w:sz w:val="22"/>
          <w:szCs w:val="22"/>
        </w:rPr>
        <w:t>-</w:t>
      </w:r>
      <w:r>
        <w:rPr>
          <w:sz w:val="22"/>
          <w:szCs w:val="22"/>
        </w:rPr>
        <w:t xml:space="preserve"> Serious</w:t>
      </w:r>
    </w:p>
    <w:p w14:paraId="32A4A585" w14:textId="2B9FF7A9" w:rsidR="00C013AF" w:rsidRDefault="00411DCE">
      <w:pPr>
        <w:pStyle w:val="ListParagraph"/>
        <w:numPr>
          <w:ilvl w:val="0"/>
          <w:numId w:val="2"/>
        </w:numPr>
        <w:spacing w:after="100" w:line="264" w:lineRule="auto"/>
      </w:pPr>
      <w:r>
        <w:rPr>
          <w:sz w:val="22"/>
          <w:szCs w:val="22"/>
        </w:rPr>
        <w:t xml:space="preserve">3 </w:t>
      </w:r>
      <w:r w:rsidR="00894CB8">
        <w:rPr>
          <w:sz w:val="22"/>
          <w:szCs w:val="22"/>
        </w:rPr>
        <w:t>-</w:t>
      </w:r>
      <w:r>
        <w:rPr>
          <w:sz w:val="22"/>
          <w:szCs w:val="22"/>
        </w:rPr>
        <w:t xml:space="preserve"> Slight</w:t>
      </w:r>
    </w:p>
    <w:p w14:paraId="716EA6CC" w14:textId="77777777" w:rsidR="00C013AF" w:rsidRDefault="00411DCE">
      <w:pPr>
        <w:pStyle w:val="Heading3"/>
        <w:spacing w:before="200" w:after="100"/>
      </w:pPr>
      <w:r>
        <w:rPr>
          <w:b/>
          <w:bCs/>
          <w:color w:val="C00000"/>
          <w:sz w:val="22"/>
          <w:szCs w:val="22"/>
        </w:rPr>
        <w:t>Light Conditions</w:t>
      </w:r>
    </w:p>
    <w:p w14:paraId="3D01C4E3" w14:textId="449922D9" w:rsidR="00C013AF" w:rsidRDefault="00411DCE">
      <w:pPr>
        <w:pStyle w:val="ListParagraph"/>
        <w:numPr>
          <w:ilvl w:val="0"/>
          <w:numId w:val="2"/>
        </w:numPr>
        <w:spacing w:after="100" w:line="264" w:lineRule="auto"/>
      </w:pPr>
      <w:r>
        <w:rPr>
          <w:sz w:val="22"/>
          <w:szCs w:val="22"/>
        </w:rPr>
        <w:t xml:space="preserve">1 </w:t>
      </w:r>
      <w:r w:rsidR="00894CB8">
        <w:rPr>
          <w:sz w:val="22"/>
          <w:szCs w:val="22"/>
        </w:rPr>
        <w:t>-</w:t>
      </w:r>
      <w:r>
        <w:rPr>
          <w:sz w:val="22"/>
          <w:szCs w:val="22"/>
        </w:rPr>
        <w:t xml:space="preserve"> Daylight</w:t>
      </w:r>
    </w:p>
    <w:p w14:paraId="07EB1E25" w14:textId="017512EF" w:rsidR="00C013AF" w:rsidRDefault="00411DCE">
      <w:pPr>
        <w:pStyle w:val="ListParagraph"/>
        <w:numPr>
          <w:ilvl w:val="0"/>
          <w:numId w:val="2"/>
        </w:numPr>
        <w:spacing w:after="100" w:line="264" w:lineRule="auto"/>
      </w:pPr>
      <w:r>
        <w:rPr>
          <w:sz w:val="22"/>
          <w:szCs w:val="22"/>
        </w:rPr>
        <w:t xml:space="preserve">4 </w:t>
      </w:r>
      <w:r w:rsidR="00894CB8">
        <w:rPr>
          <w:sz w:val="22"/>
          <w:szCs w:val="22"/>
        </w:rPr>
        <w:t>-</w:t>
      </w:r>
      <w:r>
        <w:rPr>
          <w:sz w:val="22"/>
          <w:szCs w:val="22"/>
        </w:rPr>
        <w:t xml:space="preserve"> Darkness, lights lit</w:t>
      </w:r>
    </w:p>
    <w:p w14:paraId="61F03793" w14:textId="2EDC04CA" w:rsidR="00C013AF" w:rsidRDefault="00411DCE">
      <w:pPr>
        <w:pStyle w:val="ListParagraph"/>
        <w:numPr>
          <w:ilvl w:val="0"/>
          <w:numId w:val="2"/>
        </w:numPr>
        <w:spacing w:after="100" w:line="264" w:lineRule="auto"/>
      </w:pPr>
      <w:r>
        <w:rPr>
          <w:sz w:val="22"/>
          <w:szCs w:val="22"/>
        </w:rPr>
        <w:t xml:space="preserve">5 </w:t>
      </w:r>
      <w:r w:rsidR="00894CB8">
        <w:rPr>
          <w:sz w:val="22"/>
          <w:szCs w:val="22"/>
        </w:rPr>
        <w:t>-</w:t>
      </w:r>
      <w:r>
        <w:rPr>
          <w:sz w:val="22"/>
          <w:szCs w:val="22"/>
        </w:rPr>
        <w:t xml:space="preserve"> Darkness, lights unlit</w:t>
      </w:r>
    </w:p>
    <w:p w14:paraId="5790DCD7" w14:textId="115F5B3E" w:rsidR="00C013AF" w:rsidRDefault="00411DCE">
      <w:pPr>
        <w:pStyle w:val="ListParagraph"/>
        <w:numPr>
          <w:ilvl w:val="0"/>
          <w:numId w:val="2"/>
        </w:numPr>
        <w:spacing w:after="100" w:line="264" w:lineRule="auto"/>
      </w:pPr>
      <w:r>
        <w:rPr>
          <w:sz w:val="22"/>
          <w:szCs w:val="22"/>
        </w:rPr>
        <w:t xml:space="preserve">6 </w:t>
      </w:r>
      <w:r w:rsidR="00894CB8">
        <w:rPr>
          <w:sz w:val="22"/>
          <w:szCs w:val="22"/>
        </w:rPr>
        <w:t>-</w:t>
      </w:r>
      <w:r>
        <w:rPr>
          <w:sz w:val="22"/>
          <w:szCs w:val="22"/>
        </w:rPr>
        <w:t xml:space="preserve"> Darkness, no lighting</w:t>
      </w:r>
    </w:p>
    <w:p w14:paraId="6B750729" w14:textId="2313BE76" w:rsidR="00C013AF" w:rsidRDefault="00411DCE">
      <w:pPr>
        <w:pStyle w:val="ListParagraph"/>
        <w:numPr>
          <w:ilvl w:val="0"/>
          <w:numId w:val="2"/>
        </w:numPr>
        <w:spacing w:after="100" w:line="264" w:lineRule="auto"/>
      </w:pPr>
      <w:r>
        <w:rPr>
          <w:sz w:val="22"/>
          <w:szCs w:val="22"/>
        </w:rPr>
        <w:t xml:space="preserve">7 </w:t>
      </w:r>
      <w:r w:rsidR="00894CB8">
        <w:rPr>
          <w:sz w:val="22"/>
          <w:szCs w:val="22"/>
        </w:rPr>
        <w:t>-</w:t>
      </w:r>
      <w:r>
        <w:rPr>
          <w:sz w:val="22"/>
          <w:szCs w:val="22"/>
        </w:rPr>
        <w:t xml:space="preserve"> Darkness, lighting unknown</w:t>
      </w:r>
    </w:p>
    <w:p w14:paraId="418E7A82" w14:textId="59E58D93" w:rsidR="00C013AF" w:rsidRDefault="00411DCE">
      <w:pPr>
        <w:pStyle w:val="Heading1"/>
        <w:pBdr>
          <w:bottom w:val="single" w:sz="6" w:space="4" w:color="1F3864"/>
        </w:pBdr>
        <w:spacing w:before="400" w:after="200"/>
      </w:pPr>
      <w:r>
        <w:rPr>
          <w:b/>
          <w:bCs/>
          <w:color w:val="1F3864"/>
          <w:sz w:val="30"/>
          <w:szCs w:val="30"/>
        </w:rPr>
        <w:t xml:space="preserve">Appendix C </w:t>
      </w:r>
      <w:r w:rsidR="00894CB8">
        <w:rPr>
          <w:b/>
          <w:bCs/>
          <w:color w:val="1F3864"/>
          <w:sz w:val="30"/>
          <w:szCs w:val="30"/>
        </w:rPr>
        <w:t>-</w:t>
      </w:r>
      <w:r>
        <w:rPr>
          <w:b/>
          <w:bCs/>
          <w:color w:val="1F3864"/>
          <w:sz w:val="30"/>
          <w:szCs w:val="30"/>
        </w:rPr>
        <w:t xml:space="preserve"> Data Source &amp; References</w:t>
      </w:r>
    </w:p>
    <w:p w14:paraId="11FEAA24" w14:textId="77777777" w:rsidR="00C013AF" w:rsidRDefault="00411DCE">
      <w:pPr>
        <w:pStyle w:val="ListParagraph"/>
        <w:numPr>
          <w:ilvl w:val="0"/>
          <w:numId w:val="2"/>
        </w:numPr>
        <w:spacing w:after="100" w:line="264" w:lineRule="auto"/>
      </w:pPr>
      <w:r>
        <w:rPr>
          <w:sz w:val="22"/>
          <w:szCs w:val="22"/>
        </w:rPr>
        <w:t>Department for Transport (</w:t>
      </w:r>
      <w:proofErr w:type="spellStart"/>
      <w:r>
        <w:rPr>
          <w:sz w:val="22"/>
          <w:szCs w:val="22"/>
        </w:rPr>
        <w:t>DfT</w:t>
      </w:r>
      <w:proofErr w:type="spellEnd"/>
      <w:r>
        <w:rPr>
          <w:sz w:val="22"/>
          <w:szCs w:val="22"/>
        </w:rPr>
        <w:t>). STATS19 Road Safety Data. Published via data.gov.uk.</w:t>
      </w:r>
    </w:p>
    <w:p w14:paraId="71D1E38B" w14:textId="77777777" w:rsidR="00C013AF" w:rsidRDefault="00411DCE">
      <w:pPr>
        <w:pStyle w:val="ListParagraph"/>
        <w:numPr>
          <w:ilvl w:val="0"/>
          <w:numId w:val="2"/>
        </w:numPr>
        <w:spacing w:after="100" w:line="264" w:lineRule="auto"/>
      </w:pPr>
      <w:r>
        <w:rPr>
          <w:sz w:val="22"/>
          <w:szCs w:val="22"/>
        </w:rPr>
        <w:t>Office for National Statistics (ONS). Local Auth</w:t>
      </w:r>
      <w:r>
        <w:rPr>
          <w:sz w:val="22"/>
          <w:szCs w:val="22"/>
        </w:rPr>
        <w:t>ority District geography codes.</w:t>
      </w:r>
    </w:p>
    <w:p w14:paraId="1C133BBE" w14:textId="77777777" w:rsidR="00C013AF" w:rsidRDefault="00411DCE">
      <w:pPr>
        <w:pStyle w:val="ListParagraph"/>
        <w:numPr>
          <w:ilvl w:val="0"/>
          <w:numId w:val="2"/>
        </w:numPr>
        <w:spacing w:after="100" w:line="264" w:lineRule="auto"/>
      </w:pPr>
      <w:r>
        <w:rPr>
          <w:sz w:val="22"/>
          <w:szCs w:val="22"/>
        </w:rPr>
        <w:t xml:space="preserve">OpenStreetMap contributors. </w:t>
      </w:r>
      <w:proofErr w:type="spellStart"/>
      <w:r>
        <w:rPr>
          <w:sz w:val="22"/>
          <w:szCs w:val="22"/>
        </w:rPr>
        <w:t>Basemap</w:t>
      </w:r>
      <w:proofErr w:type="spellEnd"/>
      <w:r>
        <w:rPr>
          <w:sz w:val="22"/>
          <w:szCs w:val="22"/>
        </w:rPr>
        <w:t xml:space="preserve"> data used in QGIS cartographic output.</w:t>
      </w:r>
    </w:p>
    <w:p w14:paraId="28E79F66" w14:textId="77777777" w:rsidR="00C013AF" w:rsidRDefault="00411DCE">
      <w:pPr>
        <w:pStyle w:val="ListParagraph"/>
        <w:numPr>
          <w:ilvl w:val="0"/>
          <w:numId w:val="2"/>
        </w:numPr>
        <w:spacing w:after="100" w:line="264" w:lineRule="auto"/>
      </w:pPr>
      <w:proofErr w:type="spellStart"/>
      <w:r>
        <w:rPr>
          <w:sz w:val="22"/>
          <w:szCs w:val="22"/>
        </w:rPr>
        <w:t>Getis</w:t>
      </w:r>
      <w:proofErr w:type="spellEnd"/>
      <w:r>
        <w:rPr>
          <w:sz w:val="22"/>
          <w:szCs w:val="22"/>
        </w:rPr>
        <w:t>, A. &amp; Ord, J.K. (1992). The Analysis of Spatial Association by Use of Distance Statistics. Geographical Analysis.</w:t>
      </w:r>
    </w:p>
    <w:p w14:paraId="58DAC872" w14:textId="77777777" w:rsidR="00C013AF" w:rsidRDefault="00411DCE">
      <w:pPr>
        <w:pStyle w:val="ListParagraph"/>
        <w:numPr>
          <w:ilvl w:val="0"/>
          <w:numId w:val="2"/>
        </w:numPr>
        <w:spacing w:after="100" w:line="264" w:lineRule="auto"/>
      </w:pPr>
      <w:r>
        <w:rPr>
          <w:sz w:val="22"/>
          <w:szCs w:val="22"/>
        </w:rPr>
        <w:t xml:space="preserve">Moran, P.A.P. (1950). Notes on Continuous Stochastic Phenomena. </w:t>
      </w:r>
      <w:proofErr w:type="spellStart"/>
      <w:r>
        <w:rPr>
          <w:sz w:val="22"/>
          <w:szCs w:val="22"/>
        </w:rPr>
        <w:t>Biometrika</w:t>
      </w:r>
      <w:proofErr w:type="spellEnd"/>
      <w:r>
        <w:rPr>
          <w:sz w:val="22"/>
          <w:szCs w:val="22"/>
        </w:rPr>
        <w:t>.</w:t>
      </w:r>
    </w:p>
    <w:sectPr w:rsidR="00C013A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24D8C" w14:textId="77777777" w:rsidR="00411DCE" w:rsidRDefault="00411DCE">
      <w:r>
        <w:separator/>
      </w:r>
    </w:p>
  </w:endnote>
  <w:endnote w:type="continuationSeparator" w:id="0">
    <w:p w14:paraId="3E6D89B6" w14:textId="77777777" w:rsidR="00411DCE" w:rsidRDefault="00411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3012" w14:textId="77777777" w:rsidR="00C013AF" w:rsidRDefault="00411DCE">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D44B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D44B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1D7CA" w14:textId="77777777" w:rsidR="00411DCE" w:rsidRDefault="00411DCE">
      <w:r>
        <w:separator/>
      </w:r>
    </w:p>
  </w:footnote>
  <w:footnote w:type="continuationSeparator" w:id="0">
    <w:p w14:paraId="49EEE8A2" w14:textId="77777777" w:rsidR="00411DCE" w:rsidRDefault="00411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1E03" w14:textId="77777777" w:rsidR="00C013AF" w:rsidRDefault="00411DCE">
    <w:pPr>
      <w:jc w:val="right"/>
    </w:pPr>
    <w:r>
      <w:rPr>
        <w:color w:val="595959"/>
        <w:sz w:val="16"/>
        <w:szCs w:val="16"/>
      </w:rPr>
      <w:t>Birmingham Crash Hotspot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17538"/>
    <w:multiLevelType w:val="hybridMultilevel"/>
    <w:tmpl w:val="7C506C4A"/>
    <w:lvl w:ilvl="0" w:tplc="B0368156">
      <w:start w:val="1"/>
      <w:numFmt w:val="bullet"/>
      <w:lvlText w:val="•"/>
      <w:lvlJc w:val="left"/>
      <w:pPr>
        <w:ind w:left="460" w:hanging="260"/>
      </w:pPr>
    </w:lvl>
    <w:lvl w:ilvl="1" w:tplc="429E0FF2">
      <w:start w:val="1"/>
      <w:numFmt w:val="bullet"/>
      <w:lvlText w:val="◦"/>
      <w:lvlJc w:val="left"/>
      <w:pPr>
        <w:ind w:left="920" w:hanging="260"/>
      </w:pPr>
    </w:lvl>
    <w:lvl w:ilvl="2" w:tplc="105E214C">
      <w:numFmt w:val="decimal"/>
      <w:lvlText w:val=""/>
      <w:lvlJc w:val="left"/>
    </w:lvl>
    <w:lvl w:ilvl="3" w:tplc="E312DE60">
      <w:numFmt w:val="decimal"/>
      <w:lvlText w:val=""/>
      <w:lvlJc w:val="left"/>
    </w:lvl>
    <w:lvl w:ilvl="4" w:tplc="9F889B54">
      <w:numFmt w:val="decimal"/>
      <w:lvlText w:val=""/>
      <w:lvlJc w:val="left"/>
    </w:lvl>
    <w:lvl w:ilvl="5" w:tplc="94BC6428">
      <w:numFmt w:val="decimal"/>
      <w:lvlText w:val=""/>
      <w:lvlJc w:val="left"/>
    </w:lvl>
    <w:lvl w:ilvl="6" w:tplc="E7FEB5AE">
      <w:numFmt w:val="decimal"/>
      <w:lvlText w:val=""/>
      <w:lvlJc w:val="left"/>
    </w:lvl>
    <w:lvl w:ilvl="7" w:tplc="58008528">
      <w:numFmt w:val="decimal"/>
      <w:lvlText w:val=""/>
      <w:lvlJc w:val="left"/>
    </w:lvl>
    <w:lvl w:ilvl="8" w:tplc="C7605684">
      <w:numFmt w:val="decimal"/>
      <w:lvlText w:val=""/>
      <w:lvlJc w:val="left"/>
    </w:lvl>
  </w:abstractNum>
  <w:abstractNum w:abstractNumId="1" w15:restartNumberingAfterBreak="0">
    <w:nsid w:val="633545FB"/>
    <w:multiLevelType w:val="hybridMultilevel"/>
    <w:tmpl w:val="FDBE0642"/>
    <w:lvl w:ilvl="0" w:tplc="645C8328">
      <w:start w:val="1"/>
      <w:numFmt w:val="bullet"/>
      <w:lvlText w:val="●"/>
      <w:lvlJc w:val="left"/>
      <w:pPr>
        <w:ind w:left="720" w:hanging="360"/>
      </w:pPr>
    </w:lvl>
    <w:lvl w:ilvl="1" w:tplc="139CBC4C">
      <w:start w:val="1"/>
      <w:numFmt w:val="bullet"/>
      <w:lvlText w:val="○"/>
      <w:lvlJc w:val="left"/>
      <w:pPr>
        <w:ind w:left="1440" w:hanging="360"/>
      </w:pPr>
    </w:lvl>
    <w:lvl w:ilvl="2" w:tplc="57BE8FB6">
      <w:start w:val="1"/>
      <w:numFmt w:val="bullet"/>
      <w:lvlText w:val="■"/>
      <w:lvlJc w:val="left"/>
      <w:pPr>
        <w:ind w:left="2160" w:hanging="360"/>
      </w:pPr>
    </w:lvl>
    <w:lvl w:ilvl="3" w:tplc="BF5E0524">
      <w:start w:val="1"/>
      <w:numFmt w:val="bullet"/>
      <w:lvlText w:val="●"/>
      <w:lvlJc w:val="left"/>
      <w:pPr>
        <w:ind w:left="2880" w:hanging="360"/>
      </w:pPr>
    </w:lvl>
    <w:lvl w:ilvl="4" w:tplc="7186C32E">
      <w:start w:val="1"/>
      <w:numFmt w:val="bullet"/>
      <w:lvlText w:val="○"/>
      <w:lvlJc w:val="left"/>
      <w:pPr>
        <w:ind w:left="3600" w:hanging="360"/>
      </w:pPr>
    </w:lvl>
    <w:lvl w:ilvl="5" w:tplc="776008F4">
      <w:start w:val="1"/>
      <w:numFmt w:val="bullet"/>
      <w:lvlText w:val="■"/>
      <w:lvlJc w:val="left"/>
      <w:pPr>
        <w:ind w:left="4320" w:hanging="360"/>
      </w:pPr>
    </w:lvl>
    <w:lvl w:ilvl="6" w:tplc="C62634CE">
      <w:start w:val="1"/>
      <w:numFmt w:val="bullet"/>
      <w:lvlText w:val="●"/>
      <w:lvlJc w:val="left"/>
      <w:pPr>
        <w:ind w:left="5040" w:hanging="360"/>
      </w:pPr>
    </w:lvl>
    <w:lvl w:ilvl="7" w:tplc="2A80DCE4">
      <w:start w:val="1"/>
      <w:numFmt w:val="bullet"/>
      <w:lvlText w:val="●"/>
      <w:lvlJc w:val="left"/>
      <w:pPr>
        <w:ind w:left="5760" w:hanging="360"/>
      </w:pPr>
    </w:lvl>
    <w:lvl w:ilvl="8" w:tplc="CD98E1D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3AF"/>
    <w:rsid w:val="00186BE1"/>
    <w:rsid w:val="001D44B1"/>
    <w:rsid w:val="00411DCE"/>
    <w:rsid w:val="00533736"/>
    <w:rsid w:val="00602D60"/>
    <w:rsid w:val="00894CB8"/>
    <w:rsid w:val="009B4B20"/>
    <w:rsid w:val="00AF3032"/>
    <w:rsid w:val="00C013AF"/>
    <w:rsid w:val="00D15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8C20"/>
  <w15:docId w15:val="{FFA3FA5C-0FF6-4538-BF33-DC83A6E2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86BE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946278">
      <w:bodyDiv w:val="1"/>
      <w:marLeft w:val="0"/>
      <w:marRight w:val="0"/>
      <w:marTop w:val="0"/>
      <w:marBottom w:val="0"/>
      <w:divBdr>
        <w:top w:val="none" w:sz="0" w:space="0" w:color="auto"/>
        <w:left w:val="none" w:sz="0" w:space="0" w:color="auto"/>
        <w:bottom w:val="none" w:sz="0" w:space="0" w:color="auto"/>
        <w:right w:val="none" w:sz="0" w:space="0" w:color="auto"/>
      </w:divBdr>
    </w:div>
    <w:div w:id="624508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14</Pages>
  <Words>3519</Words>
  <Characters>20063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2026-07-28T12:02:00Z</dcterms:created>
  <dcterms:modified xsi:type="dcterms:W3CDTF">2026-08-05T10:15:00Z</dcterms:modified>
</cp:coreProperties>
</file>