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040"/>
      </w:pPr>
    </w:p>
    <w:p>
      <w:pPr>
        <w:spacing w:after="520"/>
        <w:jc w:val="center"/>
      </w:pPr>
      <w:r>
        <w:rPr>
          <w:rFonts w:ascii="Times New Roman" w:hAnsi="Times New Roman"/>
          <w:b/>
          <w:color w:val="1A1A1A"/>
          <w:sz w:val="36"/>
        </w:rPr>
        <w:t>PLAN DE PRUEBAS</w:t>
      </w:r>
    </w:p>
    <w:p>
      <w:pPr>
        <w:spacing w:after="560"/>
        <w:jc w:val="center"/>
      </w:pPr>
      <w:r>
        <w:rPr>
          <w:rFonts w:ascii="Times New Roman" w:hAnsi="Times New Roman"/>
          <w:b/>
          <w:color w:val="1A1A1A"/>
          <w:sz w:val="32"/>
        </w:rPr>
        <w:t>SEAL - SISTEMA DE ELABORACIÓN Y AUTOMATIZACIÓN</w:t>
        <w:br/>
        <w:t>LEGAL DE CONTRATOS</w:t>
      </w:r>
    </w:p>
    <w:p>
      <w:pPr>
        <w:spacing w:after="100"/>
        <w:jc w:val="center"/>
      </w:pPr>
      <w:r>
        <w:rPr>
          <w:rFonts w:ascii="Times New Roman" w:hAnsi="Times New Roman"/>
          <w:color w:val="1A1A1A"/>
          <w:sz w:val="28"/>
        </w:rPr>
        <w:t>UNIVERSIDAD TECNOLÓGICA DE SAN JUAN DEL RÍO</w:t>
      </w:r>
    </w:p>
    <w:p>
      <w:pPr>
        <w:spacing w:after="100"/>
        <w:jc w:val="center"/>
      </w:pPr>
      <w:r>
        <w:rPr>
          <w:rFonts w:ascii="Times New Roman" w:hAnsi="Times New Roman"/>
          <w:color w:val="1A1A1A"/>
          <w:sz w:val="28"/>
        </w:rPr>
        <w:t>INGENIERÍA EN DESARROLLO Y GESTIÓN DE SOFTWARE</w:t>
      </w:r>
    </w:p>
    <w:p>
      <w:pPr>
        <w:spacing w:after="100"/>
        <w:jc w:val="center"/>
      </w:pPr>
      <w:r>
        <w:rPr>
          <w:rFonts w:ascii="Times New Roman" w:hAnsi="Times New Roman"/>
          <w:color w:val="1A1A1A"/>
          <w:sz w:val="28"/>
        </w:rPr>
        <w:t>ADMINISTRACIÓN DE PROYECTOS DE TI</w:t>
      </w:r>
    </w:p>
    <w:p>
      <w:pPr>
        <w:spacing w:after="200"/>
      </w:pPr>
    </w:p>
    <w:p>
      <w:pPr>
        <w:spacing w:after="40"/>
        <w:jc w:val="center"/>
      </w:pPr>
      <w:r>
        <w:rPr>
          <w:rFonts w:ascii="Times New Roman" w:hAnsi="Times New Roman"/>
          <w:b/>
          <w:color w:val="1A1A1A"/>
          <w:sz w:val="30"/>
        </w:rPr>
        <w:t>PROFESORA:</w:t>
      </w:r>
    </w:p>
    <w:p>
      <w:pPr>
        <w:spacing w:after="180"/>
        <w:jc w:val="center"/>
      </w:pPr>
      <w:r>
        <w:rPr>
          <w:rFonts w:ascii="Times New Roman" w:hAnsi="Times New Roman"/>
          <w:color w:val="1A1A1A"/>
          <w:sz w:val="27"/>
        </w:rPr>
        <w:t>Alicia Primero Álvarez</w:t>
      </w:r>
    </w:p>
    <w:p>
      <w:pPr>
        <w:spacing w:after="40"/>
        <w:jc w:val="center"/>
      </w:pPr>
      <w:r>
        <w:rPr>
          <w:rFonts w:ascii="Times New Roman" w:hAnsi="Times New Roman"/>
          <w:b/>
          <w:color w:val="1A1A1A"/>
          <w:sz w:val="30"/>
        </w:rPr>
        <w:t>GRUPO:</w:t>
      </w:r>
    </w:p>
    <w:p>
      <w:pPr>
        <w:spacing w:after="180"/>
        <w:jc w:val="center"/>
      </w:pPr>
      <w:r>
        <w:rPr>
          <w:rFonts w:ascii="Times New Roman" w:hAnsi="Times New Roman"/>
          <w:color w:val="1A1A1A"/>
          <w:sz w:val="27"/>
        </w:rPr>
        <w:t>DS01SV-25</w:t>
      </w:r>
    </w:p>
    <w:p>
      <w:pPr>
        <w:spacing w:after="40"/>
        <w:jc w:val="center"/>
      </w:pPr>
      <w:r>
        <w:rPr>
          <w:rFonts w:ascii="Times New Roman" w:hAnsi="Times New Roman"/>
          <w:b/>
          <w:color w:val="1A1A1A"/>
          <w:sz w:val="30"/>
        </w:rPr>
        <w:t>INTEGRANTES:</w:t>
      </w:r>
    </w:p>
    <w:p>
      <w:pPr>
        <w:spacing w:after="180"/>
        <w:jc w:val="center"/>
      </w:pPr>
      <w:r>
        <w:rPr>
          <w:rFonts w:ascii="Times New Roman" w:hAnsi="Times New Roman"/>
          <w:color w:val="1A1A1A"/>
          <w:sz w:val="27"/>
        </w:rPr>
        <w:t>Hugo Mauricio Romero Rodríguez</w:t>
        <w:br/>
        <w:t>Miguel Ángel Leal Pérez</w:t>
        <w:br/>
        <w:t>Miguel Ángel Durazno Martínez</w:t>
        <w:br/>
        <w:t>Omar Hernández Cervantes</w:t>
      </w:r>
    </w:p>
    <w:p>
      <w:pPr>
        <w:spacing w:before="180" w:after="0"/>
        <w:jc w:val="right"/>
      </w:pPr>
      <w:r>
        <w:rPr>
          <w:rFonts w:ascii="Times New Roman" w:hAnsi="Times New Roman"/>
          <w:color w:val="1A1A1A"/>
          <w:sz w:val="22"/>
        </w:rPr>
        <w:t>10 de agosto de 2026</w:t>
      </w:r>
    </w:p>
    <w:p>
      <w:pPr>
        <w:jc w:val="right"/>
      </w:pPr>
      <w:r>
        <w:rPr>
          <w:rFonts w:ascii="Times New Roman" w:hAnsi="Times New Roman"/>
          <w:color w:val="1A1A1A"/>
          <w:sz w:val="22"/>
        </w:rPr>
        <w:t>San Juan del Río, Qro.</w:t>
      </w:r>
    </w:p>
    <w:p>
      <w:pPr>
        <w:sectPr>
          <w:headerReference w:type="default" r:id="rId12"/>
          <w:headerReference w:type="first" r:id="rId13"/>
          <w:footerReference w:type="first" r:id="rId14"/>
          <w:headerReference w:type="even" r:id="rId17"/>
          <w:pgSz w:w="12240" w:h="15840"/>
          <w:pgMar w:top="1800" w:right="1080" w:bottom="1080" w:left="1080" w:header="850" w:footer="708" w:gutter="0"/>
          <w:cols w:space="720"/>
          <w:titlePg/>
          <w:docGrid w:linePitch="360"/>
        </w:sectPr>
      </w:pPr>
    </w:p>
    <w:p>
      <w:pPr>
        <w:spacing w:before="360" w:after="320"/>
        <w:jc w:val="center"/>
      </w:pPr>
      <w:r>
        <w:rPr>
          <w:rFonts w:ascii="Times New Roman" w:hAnsi="Times New Roman"/>
          <w:b/>
          <w:color w:val="1A1A1A"/>
          <w:sz w:val="32"/>
        </w:rPr>
        <w:t>ÍNDICE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Objetivo, alcance y exclusiones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Estrategia, ambiente y responsables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Criterios de entrada, salida y severidad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Matriz de trazabilidad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Resumen de ejecución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Casos de prueba, resultados y evidencias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Cobertura pendiente y riesgos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Procedimiento de evidencia, incidencias y aprobación</w:t>
      </w:r>
    </w:p>
    <w:p>
      <w:r>
        <w:br w:type="page"/>
      </w: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1. OBJETIVO, ALCANCE Y EXCLUSIONES</w:t>
      </w:r>
    </w:p>
    <w:p>
      <w:pPr>
        <w:pStyle w:val="Ttulo2"/>
        <w:jc w:val="left"/>
        <w:keepNext/>
        <w:keepLines/>
      </w:pPr>
      <w:r>
        <w:rPr>
          <w:rFonts w:ascii="Times New Roman" w:hAnsi="Times New Roman"/>
          <w:b/>
          <w:color w:val="1A1A1A"/>
          <w:sz w:val="28"/>
        </w:rPr>
        <w:t>1.1 Objetivo</w:t>
      </w:r>
    </w:p>
    <w:p>
      <w:pPr>
        <w:spacing w:after="120"/>
        <w:jc w:val="both"/>
        <w:keepLines/>
      </w:pPr>
      <w:r>
        <w:rPr>
          <w:rFonts w:ascii="Times New Roman" w:hAnsi="Times New Roman"/>
          <w:color w:val="1A1A1A"/>
          <w:sz w:val="22"/>
        </w:rPr>
        <w:t>Definir y documentar las pruebas que comprueban el comportamiento de SEAL antes de su liberación. Para cumplir la rúbrica, cada caso ejecutado incluye escenario, resultado esperado, resultado obtenido y evidencia localizable.</w:t>
      </w:r>
    </w:p>
    <w:p>
      <w:pPr>
        <w:pStyle w:val="Ttulo2"/>
        <w:jc w:val="left"/>
        <w:keepNext/>
        <w:keepLines/>
      </w:pPr>
      <w:r>
        <w:rPr>
          <w:rFonts w:ascii="Times New Roman" w:hAnsi="Times New Roman"/>
          <w:b/>
          <w:color w:val="1A1A1A"/>
          <w:sz w:val="28"/>
        </w:rPr>
        <w:t>1.2 Alcance probado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Lógica de placeholders y renderizado seguro de contratos.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Integración del formulario de inicio de sesión con respuestas API simuladas.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Disponibilidad básica del frontend y endpoint de salud en producción.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Carga concurrente del login con 50 usuarios virtuales.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Accesibilidad, mejores prácticas, SEO y rendimiento mediante Lighthouse.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Construcción/lint de frontend, HTTPS, contenedores y auditoría de dependencias.</w:t>
      </w:r>
    </w:p>
    <w:p>
      <w:pPr>
        <w:pStyle w:val="Ttulo2"/>
        <w:jc w:val="left"/>
        <w:keepNext/>
        <w:keepLines/>
      </w:pPr>
      <w:r>
        <w:rPr>
          <w:rFonts w:ascii="Times New Roman" w:hAnsi="Times New Roman"/>
          <w:b/>
          <w:color w:val="1A1A1A"/>
          <w:sz w:val="28"/>
        </w:rPr>
        <w:t>1.3 Exclusiones y limitaciones</w:t>
      </w:r>
    </w:p>
    <w:p>
      <w:pPr>
        <w:spacing w:after="120"/>
        <w:jc w:val="both"/>
        <w:keepLines/>
      </w:pPr>
      <w:r>
        <w:rPr>
          <w:rFonts w:ascii="Times New Roman" w:hAnsi="Times New Roman"/>
          <w:color w:val="1A1A1A"/>
          <w:sz w:val="22"/>
        </w:rPr>
        <w:t>No se presentan como aprobados los flujos que no cuentan con evidencia reproducible: CRUD completo de usuarios, versionado y bloqueo de contratos, asignación/aprobación, firma móvil real, notificaciones, bitácora, IA con servicio externo y recuperación de contraseña con correo real. Se registran como cobertura pendiente en la sección 7.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9360"/>
      </w:tblGrid>
      <w:tr>
        <w:tc>
          <w:tcPr>
            <w:tcW w:type="dxa" w:w="9360"/>
            <w:shd w:fill="FFF0CC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A1A1A"/>
                <w:sz w:val="22"/>
              </w:rPr>
              <w:t xml:space="preserve">Regla de honestidad: </w:t>
            </w:r>
            <w:r>
              <w:rPr>
                <w:rFonts w:ascii="Times New Roman" w:hAnsi="Times New Roman"/>
                <w:color w:val="1A1A1A"/>
                <w:sz w:val="22"/>
              </w:rPr>
              <w:t>La cobertura de 100 % de líneas corresponde únicamente a tres utilidades seleccionadas (46 líneas), no al backend completo.</w:t>
            </w:r>
          </w:p>
        </w:tc>
        <w:trPr>
          <w:tblHeader/>
        </w:trPr>
      </w:tr>
    </w:tbl>
    <w:p>
      <w:pPr>
        <w:spacing w:after="60"/>
      </w:pP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2. ESTRATEGIA, AMBIENTE Y RESPONSABLES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1800"/>
        <w:gridCol w:w="1440"/>
        <w:gridCol w:w="4464"/>
        <w:gridCol w:w="1656"/>
      </w:tblGrid>
      <w:tr>
        <w:trPr>
          <w:tblHeader w:val="true"/>
          <w:cantSplit/>
        </w:trPr>
        <w:tc>
          <w:tcPr>
            <w:tcW w:type="dxa" w:w="180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Nivel</w:t>
            </w:r>
          </w:p>
        </w:tc>
        <w:tc>
          <w:tcPr>
            <w:tcW w:type="dxa" w:w="144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Herramienta</w:t>
            </w:r>
          </w:p>
        </w:tc>
        <w:tc>
          <w:tcPr>
            <w:tcW w:type="dxa" w:w="4464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Cobertura</w:t>
            </w:r>
          </w:p>
        </w:tc>
        <w:tc>
          <w:tcPr>
            <w:tcW w:type="dxa" w:w="1656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Responsable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Unitaria / caja blanca</w:t>
            </w:r>
          </w:p>
        </w:tc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Jest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Funciones de placeholders, escape, render y hash</w:t>
            </w:r>
          </w:p>
        </w:tc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Equipo de desarrollo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Integración UI</w:t>
            </w:r>
          </w:p>
        </w:tc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Playwright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Login válido e inválido con API interceptada</w:t>
            </w:r>
          </w:p>
        </w:tc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QA / frontend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Carga</w:t>
            </w:r>
          </w:p>
        </w:tc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k6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GET /login y /api/health con 50 VUs</w:t>
            </w:r>
          </w:p>
        </w:tc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QA / infraestructura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Calidad web</w:t>
            </w:r>
          </w:p>
        </w:tc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Lighthouse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Performance, accesibilidad, mejores prácticas y SEO</w:t>
            </w:r>
          </w:p>
        </w:tc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QA / frontend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Infraestructura</w:t>
            </w:r>
          </w:p>
        </w:tc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Docker, Nginx, curl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HTTPS, redirección, salud y contenedores</w:t>
            </w:r>
          </w:p>
        </w:tc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Infraestructura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Estática / compilación</w:t>
            </w:r>
          </w:p>
        </w:tc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ESLint y Next build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Errores de código y construcción productiva</w:t>
            </w:r>
          </w:p>
        </w:tc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Frontend</w:t>
            </w:r>
          </w:p>
        </w:tc>
      </w:tr>
    </w:tbl>
    <w:p>
      <w:pPr>
        <w:spacing w:after="60"/>
      </w:pPr>
    </w:p>
    <w:p>
      <w:pPr>
        <w:pStyle w:val="Ttulo2"/>
        <w:jc w:val="left"/>
        <w:keepNext/>
        <w:keepLines/>
      </w:pPr>
      <w:r>
        <w:rPr>
          <w:rFonts w:ascii="Times New Roman" w:hAnsi="Times New Roman"/>
          <w:b/>
          <w:color w:val="1A1A1A"/>
          <w:sz w:val="28"/>
        </w:rPr>
        <w:t>2.1 Ambiente y datos</w:t>
      </w:r>
    </w:p>
    <w:p>
      <w:pPr>
        <w:spacing w:after="120"/>
        <w:jc w:val="both"/>
        <w:keepLines/>
      </w:pPr>
      <w:r>
        <w:rPr>
          <w:rFonts w:ascii="Times New Roman" w:hAnsi="Times New Roman"/>
          <w:color w:val="1A1A1A"/>
          <w:sz w:val="22"/>
        </w:rPr>
        <w:t>Local: macOS, Node.js, navegador Chromium/Chrome, Docker Desktop, frontend Next.js, backend Express y Nginx. Producción: Azure VM roco-v4, Ubuntu 22.04, Docker Compose, Nginx y certificado Let's Encrypt en https://4-154-29-114.sslip.io. Los usuarios y credenciales de Playwright son ficticios; no se emplean datos personales reales.</w:t>
      </w: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3. CRITERIOS DE ENTRADA, SALIDA Y SEVERIDAD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9"/>
              </w:rPr>
              <w:t>Criterio</w:t>
            </w:r>
          </w:p>
        </w:tc>
        <w:tc>
          <w:tcPr>
            <w:tcW w:type="dxa" w:w="7272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Entrada</w:t>
            </w:r>
          </w:p>
        </w:tc>
        <w:tc>
          <w:tcPr>
            <w:tcW w:type="dxa" w:w="727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Código disponible; dependencias instaladas; ambiente o URL accesible; datos ficticios; caso y meta definidos.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Salida aprobada</w:t>
            </w:r>
          </w:p>
        </w:tc>
        <w:tc>
          <w:tcPr>
            <w:tcW w:type="dxa" w:w="727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Resultado obtenido coincide con el esperado, evidencia guardada y umbrales satisfechos.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Salida fallida</w:t>
            </w:r>
          </w:p>
        </w:tc>
        <w:tc>
          <w:tcPr>
            <w:tcW w:type="dxa" w:w="727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Diferencia reproducible, incidencia registrada con severidad, evidencia y pasos de repetición.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Salida bloqueada</w:t>
            </w:r>
          </w:p>
        </w:tc>
        <w:tc>
          <w:tcPr>
            <w:tcW w:type="dxa" w:w="727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Dependencia externa impide ejecutar; se documenta causa, responsable y nueva fecha.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Evidencia mínima</w:t>
            </w:r>
          </w:p>
        </w:tc>
        <w:tc>
          <w:tcPr>
            <w:tcW w:type="dxa" w:w="727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Reporte HTML/JSON, captura, salida de comando o documento firmado por responsable; sin secretos ni datos reales.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1440"/>
        <w:gridCol w:w="5040"/>
        <w:gridCol w:w="2880"/>
      </w:tblGrid>
      <w:tr>
        <w:trPr>
          <w:tblHeader w:val="true"/>
          <w:cantSplit/>
        </w:trPr>
        <w:tc>
          <w:tcPr>
            <w:tcW w:type="dxa" w:w="144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Severidad</w:t>
            </w:r>
          </w:p>
        </w:tc>
        <w:tc>
          <w:tcPr>
            <w:tcW w:type="dxa" w:w="504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Definición</w:t>
            </w:r>
          </w:p>
        </w:tc>
        <w:tc>
          <w:tcPr>
            <w:tcW w:type="dxa" w:w="288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Crítica</w:t>
            </w:r>
          </w:p>
        </w:tc>
        <w:tc>
          <w:tcPr>
            <w:tcW w:type="dxa" w:w="50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Pérdida/exposición de datos, caída total, firma inválida o acceso no autorizado.</w:t>
            </w:r>
          </w:p>
        </w:tc>
        <w:tc>
          <w:tcPr>
            <w:tcW w:type="dxa" w:w="28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Bloquea liberación.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Alta</w:t>
            </w:r>
          </w:p>
        </w:tc>
        <w:tc>
          <w:tcPr>
            <w:tcW w:type="dxa" w:w="50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Flujo principal inutilizable sin alternativa.</w:t>
            </w:r>
          </w:p>
        </w:tc>
        <w:tc>
          <w:tcPr>
            <w:tcW w:type="dxa" w:w="28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Corregir y reejecutar antes de liberar.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Media</w:t>
            </w:r>
          </w:p>
        </w:tc>
        <w:tc>
          <w:tcPr>
            <w:tcW w:type="dxa" w:w="50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Función degradada con alternativa o impacto limitado.</w:t>
            </w:r>
          </w:p>
        </w:tc>
        <w:tc>
          <w:tcPr>
            <w:tcW w:type="dxa" w:w="28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Plan de corrección y regresión.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Baja</w:t>
            </w:r>
          </w:p>
        </w:tc>
        <w:tc>
          <w:tcPr>
            <w:tcW w:type="dxa" w:w="50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Detalle visual o de texto sin afectar el flujo.</w:t>
            </w:r>
          </w:p>
        </w:tc>
        <w:tc>
          <w:tcPr>
            <w:tcW w:type="dxa" w:w="28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Puede programarse en backlog.</w:t>
            </w:r>
          </w:p>
        </w:tc>
      </w:tr>
    </w:tbl>
    <w:p>
      <w:pPr>
        <w:spacing w:after="60"/>
      </w:pP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4. MATRIZ DE TRAZABILIDAD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1656"/>
        <w:gridCol w:w="4464"/>
        <w:gridCol w:w="1728"/>
        <w:gridCol w:w="1512"/>
      </w:tblGrid>
      <w:tr>
        <w:trPr>
          <w:tblHeader w:val="true"/>
          <w:cantSplit/>
        </w:trPr>
        <w:tc>
          <w:tcPr>
            <w:tcW w:type="dxa" w:w="1656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Requisito</w:t>
            </w:r>
          </w:p>
        </w:tc>
        <w:tc>
          <w:tcPr>
            <w:tcW w:type="dxa" w:w="4464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Descripción</w:t>
            </w:r>
          </w:p>
        </w:tc>
        <w:tc>
          <w:tcPr>
            <w:tcW w:type="dxa" w:w="1728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Casos</w:t>
            </w:r>
          </w:p>
        </w:tc>
        <w:tc>
          <w:tcPr>
            <w:tcW w:type="dxa" w:w="1512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8"/>
              </w:rPr>
              <w:t>Tipo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RNF-SEG-01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Validación y render seguro de plantillas</w:t>
            </w:r>
          </w:p>
        </w:tc>
        <w:tc>
          <w:tcPr>
            <w:tcW w:type="dxa" w:w="17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CP-01 a CP-07</w:t>
            </w:r>
          </w:p>
        </w:tc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Automatizada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RF-AUT-01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Inicio de sesión y manejo de sesión</w:t>
            </w:r>
          </w:p>
        </w:tc>
        <w:tc>
          <w:tcPr>
            <w:tcW w:type="dxa" w:w="17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CP-08 y CP-09</w:t>
            </w:r>
          </w:p>
        </w:tc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Automatizada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RNF-REN-01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Respuesta bajo concurrencia</w:t>
            </w:r>
          </w:p>
        </w:tc>
        <w:tc>
          <w:tcPr>
            <w:tcW w:type="dxa" w:w="17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CP-10</w:t>
            </w:r>
          </w:p>
        </w:tc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Automatizada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RNF-USAB-01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Accesibilidad y calidad web</w:t>
            </w:r>
          </w:p>
        </w:tc>
        <w:tc>
          <w:tcPr>
            <w:tcW w:type="dxa" w:w="17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CP-11</w:t>
            </w:r>
          </w:p>
        </w:tc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Automatizada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RNF-INF-01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HTTPS, salud y contenedores</w:t>
            </w:r>
          </w:p>
        </w:tc>
        <w:tc>
          <w:tcPr>
            <w:tcW w:type="dxa" w:w="17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CP-12 y CP-13</w:t>
            </w:r>
          </w:p>
        </w:tc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RNF-CAL-01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Construcción y calidad estática</w:t>
            </w:r>
          </w:p>
        </w:tc>
        <w:tc>
          <w:tcPr>
            <w:tcW w:type="dxa" w:w="17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CP-14</w:t>
            </w:r>
          </w:p>
        </w:tc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Automatizada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RNF-SEG-02</w:t>
            </w:r>
          </w:p>
        </w:tc>
        <w:tc>
          <w:tcPr>
            <w:tcW w:type="dxa" w:w="44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Riesgo conocido de dependencias</w:t>
            </w:r>
          </w:p>
        </w:tc>
        <w:tc>
          <w:tcPr>
            <w:tcW w:type="dxa" w:w="17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CP-15</w:t>
            </w:r>
          </w:p>
        </w:tc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8"/>
              </w:rPr>
              <w:t>Auditoría</w:t>
            </w:r>
          </w:p>
        </w:tc>
      </w:tr>
    </w:tbl>
    <w:p>
      <w:pPr>
        <w:spacing w:after="60"/>
      </w:pP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5. RESUMEN DE 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1656"/>
        <w:gridCol w:w="1224"/>
        <w:gridCol w:w="1224"/>
        <w:gridCol w:w="1080"/>
        <w:gridCol w:w="4176"/>
      </w:tblGrid>
      <w:tr>
        <w:trPr>
          <w:tblHeader w:val="true"/>
          <w:cantSplit/>
        </w:trPr>
        <w:tc>
          <w:tcPr>
            <w:tcW w:type="dxa" w:w="1656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Suite</w:t>
            </w:r>
          </w:p>
        </w:tc>
        <w:tc>
          <w:tcPr>
            <w:tcW w:type="dxa" w:w="1224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Planificados</w:t>
            </w:r>
          </w:p>
        </w:tc>
        <w:tc>
          <w:tcPr>
            <w:tcW w:type="dxa" w:w="1224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Aprobados</w:t>
            </w:r>
          </w:p>
        </w:tc>
        <w:tc>
          <w:tcPr>
            <w:tcW w:type="dxa" w:w="108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Fallidos</w:t>
            </w:r>
          </w:p>
        </w:tc>
        <w:tc>
          <w:tcPr>
            <w:tcW w:type="dxa" w:w="4176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Jest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2 suites; 100 % líneas seleccionadas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Playwright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Login válido e inválido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k6 producción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p95 290.56 ms; 0 % error HTTP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Lighthouse local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 parcial</w:t>
            </w:r>
          </w:p>
        </w:tc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Acc. 95 y BP 96; Performance 74 a mejorar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Infraestructura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HTTPS, login, health y contenedores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Build/lint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Next build y ESLint correctos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Auditoría dependencias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 parcial</w:t>
            </w:r>
          </w:p>
        </w:tc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 altas/críticas; 8 moderadas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9360"/>
      </w:tblGrid>
      <w:tr>
        <w:tc>
          <w:tcPr>
            <w:tcW w:type="dxa" w:w="9360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A1A1A"/>
                <w:sz w:val="22"/>
              </w:rPr>
              <w:t xml:space="preserve">Resultado: </w:t>
            </w:r>
            <w:r>
              <w:rPr>
                <w:rFonts w:ascii="Times New Roman" w:hAnsi="Times New Roman"/>
                <w:color w:val="1A1A1A"/>
                <w:sz w:val="22"/>
              </w:rPr>
              <w:t>15 casos documentados: 13 cumplen completamente y 2 cumplen con observaciones de mejora. No existen casos fallidos en la evidencia conservada.</w:t>
            </w:r>
          </w:p>
        </w:tc>
        <w:trPr>
          <w:tblHeader/>
        </w:trPr>
      </w:tr>
    </w:tbl>
    <w:p>
      <w:pPr>
        <w:spacing w:after="60"/>
      </w:pPr>
    </w:p>
    <w:p>
      <w:r>
        <w:br w:type="page"/>
      </w: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6. CASOS DE PRUEBA, RESULTADOS Y EVIDENCIAS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2520"/>
        <w:gridCol w:w="2232"/>
        <w:gridCol w:w="2592"/>
        <w:gridCol w:w="2016"/>
      </w:tblGrid>
      <w:tr>
        <w:trPr>
          <w:tblHeader w:val="true"/>
          <w:cantSplit/>
        </w:trPr>
        <w:tc>
          <w:tcPr>
            <w:tcW w:type="dxa" w:w="252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5"/>
              </w:rPr>
              <w:t>ID / caso / procedimiento</w:t>
            </w:r>
          </w:p>
        </w:tc>
        <w:tc>
          <w:tcPr>
            <w:tcW w:type="dxa" w:w="2232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5"/>
              </w:rPr>
              <w:t>Resultado esperado</w:t>
            </w:r>
          </w:p>
        </w:tc>
        <w:tc>
          <w:tcPr>
            <w:tcW w:type="dxa" w:w="2592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5"/>
              </w:rPr>
              <w:t>Resultado obtenido</w:t>
            </w:r>
          </w:p>
        </w:tc>
        <w:tc>
          <w:tcPr>
            <w:tcW w:type="dxa" w:w="2016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5"/>
              </w:rPr>
              <w:t>Evidencia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CP-01</w:t>
              <w:br/>
              <w:t>Placeholders únicos</w:t>
              <w:br/>
              <w:t>Ejecutar Jest con tokens repetidos.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Devuelve employee.name y company.salary sin duplicados.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La lista contiene ambos tokens una sola vez.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Back/tests/unit/placeholders.unit.test.js; cobertura HTML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CP-02</w:t>
              <w:br/>
              <w:t>Catálogo permitido</w:t>
              <w:br/>
              <w:t>Validar employee.name y company.position.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Acepta únicamente los placeholders catalogados.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Devuelve used_placeholders con los dos campos.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Mismo test unitario; Back/coverage/index.html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CP-03</w:t>
              <w:br/>
              <w:t>Campo desconocido</w:t>
              <w:br/>
              <w:t>Validar employee.password.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Rechaza con error 400 y reporta el campo inválido.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Se produjo Invalid placeholder(s), código 400.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Mismo test unitario; reporte Jest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CP-04</w:t>
              <w:br/>
              <w:t>Escape HTML</w:t>
              <w:br/>
              <w:t>Probar nulos, script, &amp;, comillas y apóstrofe.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Convierte caracteres peligrosos y nulos a salida segura.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Las cinco ramas devolvieron el texto escapado esperado.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Back/tests/whitebox/template-render.whitebox.test.js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CP-05</w:t>
              <w:br/>
              <w:t>Render de plantilla</w:t>
              <w:br/>
              <w:t>Sustituir tokens y omitir valor ausente.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Escapa valores, reemplaza tokens y deja vacío el dato faltante.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Coincidencia exacta con el HTML esperado.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Test whitebox; Back/coverage/placeholderRender.js.html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CP-06</w:t>
              <w:br/>
              <w:t>Rechazo data-ph</w:t>
              <w:br/>
              <w:t>Enviar span con data-ph.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Rechaza antes del catálogo con DISALLOWED_DATA_PH.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Error 400 y razón esperada.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Test whitebox; reporte Jest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CP-07</w:t>
              <w:br/>
              <w:t>Hash de evidencia</w:t>
              <w:br/>
              <w:t>Calcular SHA-256 de SEAL.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Hash estable a5fd...fad4.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Coincidencia exacta del hash.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Test whitebox; Back/coverage/html.js.html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CP-08</w:t>
              <w:br/>
              <w:t>Login válido</w:t>
              <w:br/>
              <w:t>Enviar qa@seal.test y respuesta API 200 simulada.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Guarda token/usuario y redirige al Dashboard.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URL /, Dashboard visible, token y rol ADMIN guardados.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qa/e2e/login.integration.spec.js; qa/reports/playwright/index.html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CP-09</w:t>
              <w:br/>
              <w:t>Login inválido</w:t>
              <w:br/>
              <w:t>Simular API 401.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Muestra Credenciales inválidas, conserva /login y no crea token.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Mensaje visible, URL /login y localStorage vacío.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Mismo spec y reporte Playwright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CP-10</w:t>
              <w:br/>
              <w:t>Carga producción</w:t>
              <w:br/>
              <w:t>50 VUs por 30 s sobre /login.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Error &lt;1 %, p95 &lt;500 ms y checks &gt;99 %.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1,342 req.; 0 % error; p95 290.56 ms; 99.63 % checks.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qa/reports/k6/summary-production.json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CP-11</w:t>
              <w:br/>
              <w:t>Lighthouse</w:t>
              <w:br/>
              <w:t>Auditar página de login.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Accesibilidad y BP ≥85; Performance objetivo ≥85.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PARCIAL. Acc. 95, BP 96 y SEO 100; Performance 74, LCP 5.5 s.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qa/reports/lighthouse/seal-local-http.report.json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CP-12</w:t>
              <w:br/>
              <w:t>HTTPS y salud</w:t>
              <w:br/>
              <w:t>Verificar redirección, /login y /api/health.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301 a HTTPS, login 200 y health {ok:true}.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Los tres resultados se documentaron en producción.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docs/release/RESULTADOS_QA_PRODUCCION.md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CP-13</w:t>
              <w:br/>
              <w:t>Contenedores</w:t>
              <w:br/>
              <w:t>Inspeccionar frontend, backend y Nginx.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Frontend/backend saludables y proxy público operativo.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Servicios saludables; puertos internos 3000/3001 y públicos 80/443.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RESULTADOS_QA_PRODUCCION.md; compose.yaml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CP-14</w:t>
              <w:br/>
              <w:t>Build y lint</w:t>
              <w:br/>
              <w:t>Ejecutar comandos de frontend.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ESLint sin errores y build genera BUILD_ID.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APROBADO. Ambos comandos finalizaron correctamente el 10/08/2026.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Front/.next/BUILD_ID; npm --prefix Front run lint/build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CP-15</w:t>
              <w:br/>
              <w:t>Dependencias</w:t>
              <w:br/>
              <w:t>Revisar auditoría de producción.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Cero vulnerabilidades altas o críticas.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PARCIAL. Meta crítica cumple; permanecen 8 moderadas transitivas de Firebase.</w:t>
            </w:r>
          </w:p>
        </w:tc>
        <w:tc>
          <w:tcPr>
            <w:tcW w:type="dxa" w:w="20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5"/>
              </w:rPr>
              <w:t>docs/release/RESULTADOS_QA_LOCAL.md</w:t>
            </w:r>
          </w:p>
        </w:tc>
      </w:tr>
    </w:tbl>
    <w:p>
      <w:pPr>
        <w:spacing w:after="60"/>
      </w:pP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7. COBERTURA PENDIENTE Y RIESGOS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1584"/>
        <w:gridCol w:w="4968"/>
        <w:gridCol w:w="1224"/>
        <w:gridCol w:w="1584"/>
      </w:tblGrid>
      <w:tr>
        <w:trPr>
          <w:tblHeader w:val="true"/>
          <w:cantSplit/>
        </w:trPr>
        <w:tc>
          <w:tcPr>
            <w:tcW w:type="dxa" w:w="1584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Área</w:t>
            </w:r>
          </w:p>
        </w:tc>
        <w:tc>
          <w:tcPr>
            <w:tcW w:type="dxa" w:w="4968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Caso pendiente</w:t>
            </w:r>
          </w:p>
        </w:tc>
        <w:tc>
          <w:tcPr>
            <w:tcW w:type="dxa" w:w="1224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Prioridad</w:t>
            </w:r>
          </w:p>
        </w:tc>
        <w:tc>
          <w:tcPr>
            <w:tcW w:type="dxa" w:w="1584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Evidencia requerida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Usuarios</w:t>
            </w:r>
          </w:p>
        </w:tc>
        <w:tc>
          <w:tcPr>
            <w:tcW w:type="dxa" w:w="49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Crear, invitar, editar, deshabilitar y eliminar; validar roles.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Alta</w:t>
            </w:r>
          </w:p>
        </w:tc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Capturas/API + bitácora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Contratos</w:t>
            </w:r>
          </w:p>
        </w:tc>
        <w:tc>
          <w:tcPr>
            <w:tcW w:type="dxa" w:w="49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Carga DOCX, placeholders, versiones, comparación, borrador, publicación, clon y lock.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Alta</w:t>
            </w:r>
          </w:p>
        </w:tc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Capturas + archivos generados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Asignaciones</w:t>
            </w:r>
          </w:p>
        </w:tc>
        <w:tc>
          <w:tcPr>
            <w:tcW w:type="dxa" w:w="49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Precheck, creación, mensajes, aprobación/rechazo y PDF.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Alta</w:t>
            </w:r>
          </w:p>
        </w:tc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Playwright + PDF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Firma móvil</w:t>
            </w:r>
          </w:p>
        </w:tc>
        <w:tc>
          <w:tcPr>
            <w:tcW w:type="dxa" w:w="49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Token/QR, expiración, firma, evidencia e idempotencia.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Alta</w:t>
            </w:r>
          </w:p>
        </w:tc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Video/capturas + registro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Cliente</w:t>
            </w:r>
          </w:p>
        </w:tc>
        <w:tc>
          <w:tcPr>
            <w:tcW w:type="dxa" w:w="49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Perfil, asignaciones, mensajes, IA y descarga de PDF.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Media</w:t>
            </w:r>
          </w:p>
        </w:tc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Playwright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Recuperación</w:t>
            </w:r>
          </w:p>
        </w:tc>
        <w:tc>
          <w:tcPr>
            <w:tcW w:type="dxa" w:w="49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Solicitud, verificación, expiración y confirmación por correo.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Alta</w:t>
            </w:r>
          </w:p>
        </w:tc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Correo ficticio + API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Seguridad</w:t>
            </w:r>
          </w:p>
        </w:tc>
        <w:tc>
          <w:tcPr>
            <w:tcW w:type="dxa" w:w="49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Rate limit, JWT inválido, acceso cruzado de roles y tamaño de payload.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Alta</w:t>
            </w:r>
          </w:p>
        </w:tc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Pruebas API automatizadas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Observabilidad</w:t>
            </w:r>
          </w:p>
        </w:tc>
        <w:tc>
          <w:tcPr>
            <w:tcW w:type="dxa" w:w="49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Notificaciones, bitácora y registro de incidencias.</w:t>
            </w:r>
          </w:p>
        </w:tc>
        <w:tc>
          <w:tcPr>
            <w:tcW w:type="dxa" w:w="12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Media</w:t>
            </w:r>
          </w:p>
        </w:tc>
        <w:tc>
          <w:tcPr>
            <w:tcW w:type="dxa" w:w="15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Capturas + logs</w:t>
            </w:r>
          </w:p>
        </w:tc>
      </w:tr>
    </w:tbl>
    <w:p>
      <w:pPr>
        <w:spacing w:after="60"/>
      </w:pPr>
    </w:p>
    <w:p>
      <w:pPr>
        <w:spacing w:after="120"/>
        <w:jc w:val="both"/>
        <w:keepLines/>
      </w:pPr>
      <w:r>
        <w:rPr>
          <w:rFonts w:ascii="Times New Roman" w:hAnsi="Times New Roman"/>
          <w:color w:val="1A1A1A"/>
          <w:sz w:val="21"/>
        </w:rPr>
        <w:t>Riesgo principal: los resultados existentes son sólidos para los componentes probados, pero todavía no demuestran regresión integral de todos los flujos de negocio. La liberación académica puede conservarse; una liberación comercial debería cerrar primero los casos de prioridad alta.</w:t>
      </w: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8. PROCEDIMIENTO DE EVIDENCIA, INCIDENCIAS Y APROBACIÓN</w:t>
      </w:r>
    </w:p>
    <w:p>
      <w:pPr>
        <w:pStyle w:val="Ttulo2"/>
        <w:jc w:val="left"/>
        <w:keepNext/>
        <w:keepLines/>
      </w:pPr>
      <w:r>
        <w:rPr>
          <w:rFonts w:ascii="Times New Roman" w:hAnsi="Times New Roman"/>
          <w:b/>
          <w:color w:val="1A1A1A"/>
          <w:sz w:val="28"/>
        </w:rPr>
        <w:t>8.1 Ejecución y resguardo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color w:val="1A1A1A"/>
          <w:sz w:val="21"/>
        </w:rPr>
        <w:t>Preparar datos ficticios y registrar versión, ambiente, fecha y responsable.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color w:val="1A1A1A"/>
          <w:sz w:val="21"/>
        </w:rPr>
        <w:t>Ejecutar el comando o procedimiento exacto del caso.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color w:val="1A1A1A"/>
          <w:sz w:val="21"/>
        </w:rPr>
        <w:t>Comparar resultado obtenido contra esperado y asignar Aprobado, Fallido, Bloqueado o Parcial.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color w:val="1A1A1A"/>
          <w:sz w:val="21"/>
        </w:rPr>
        <w:t>Guardar reporte/captura con nombre CP-XX-fecha; ocultar tokens, correos reales y datos contractuales.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color w:val="1A1A1A"/>
          <w:sz w:val="21"/>
        </w:rPr>
        <w:t>Si falla, abrir incidencia con severidad, pasos, evidencia, responsable y versión afectada; después corregir y reejecutar regresión.</w:t>
      </w:r>
    </w:p>
    <w:p>
      <w:pPr>
        <w:pStyle w:val="Ttulo2"/>
        <w:jc w:val="left"/>
        <w:keepNext/>
        <w:keepLines/>
      </w:pPr>
      <w:r>
        <w:rPr>
          <w:rFonts w:ascii="Times New Roman" w:hAnsi="Times New Roman"/>
          <w:b/>
          <w:color w:val="1A1A1A"/>
          <w:sz w:val="28"/>
        </w:rPr>
        <w:t>8.2 Comandos reproducibles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1440"/>
        <w:gridCol w:w="5328"/>
        <w:gridCol w:w="2592"/>
      </w:tblGrid>
      <w:tr>
        <w:trPr>
          <w:tblHeader w:val="true"/>
          <w:cantSplit/>
        </w:trPr>
        <w:tc>
          <w:tcPr>
            <w:tcW w:type="dxa" w:w="144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Suite</w:t>
            </w:r>
          </w:p>
        </w:tc>
        <w:tc>
          <w:tcPr>
            <w:tcW w:type="dxa" w:w="5328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Comando</w:t>
            </w:r>
          </w:p>
        </w:tc>
        <w:tc>
          <w:tcPr>
            <w:tcW w:type="dxa" w:w="2592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Jest</w:t>
            </w:r>
          </w:p>
        </w:tc>
        <w:tc>
          <w:tcPr>
            <w:tcW w:type="dxa" w:w="53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npm --prefix Back run test:coverage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Back/coverage/index.html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Playwright</w:t>
            </w:r>
          </w:p>
        </w:tc>
        <w:tc>
          <w:tcPr>
            <w:tcW w:type="dxa" w:w="53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BASE_URL=https://URL npm --prefix qa run test:e2e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qa/reports/playwright/index.html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k6</w:t>
            </w:r>
          </w:p>
        </w:tc>
        <w:tc>
          <w:tcPr>
            <w:tcW w:type="dxa" w:w="53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BASE_URL=https://URL k6 run qa/k6/load-test.js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qa/reports/k6/summary-production.json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Lighthouse</w:t>
            </w:r>
          </w:p>
        </w:tc>
        <w:tc>
          <w:tcPr>
            <w:tcW w:type="dxa" w:w="53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BASE_URL=https://URL npm --prefix qa run lighthouse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qa/reports/lighthouse/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Frontend</w:t>
            </w:r>
          </w:p>
        </w:tc>
        <w:tc>
          <w:tcPr>
            <w:tcW w:type="dxa" w:w="53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npm --prefix Front run lint &amp;&amp; npm --prefix Front run build</w:t>
            </w:r>
          </w:p>
        </w:tc>
        <w:tc>
          <w:tcPr>
            <w:tcW w:type="dxa" w:w="2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Front/.next/BUILD_ID</w:t>
            </w:r>
          </w:p>
        </w:tc>
      </w:tr>
    </w:tbl>
    <w:p>
      <w:pPr>
        <w:spacing w:after="60"/>
      </w:pPr>
    </w:p>
    <w:p>
      <w:pPr>
        <w:pStyle w:val="Ttulo2"/>
        <w:jc w:val="left"/>
        <w:keepNext/>
        <w:keepLines/>
      </w:pPr>
      <w:r>
        <w:rPr>
          <w:rFonts w:ascii="Times New Roman" w:hAnsi="Times New Roman"/>
          <w:b/>
          <w:color w:val="1A1A1A"/>
          <w:sz w:val="28"/>
        </w:rPr>
        <w:t>8.3 Aprobación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2088"/>
        <w:gridCol w:w="5112"/>
        <w:gridCol w:w="2160"/>
      </w:tblGrid>
      <w:tr>
        <w:trPr>
          <w:tblHeader w:val="true"/>
          <w:cantSplit/>
        </w:trPr>
        <w:tc>
          <w:tcPr>
            <w:tcW w:type="dxa" w:w="2088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9"/>
              </w:rPr>
              <w:t>Rol</w:t>
            </w:r>
          </w:p>
        </w:tc>
        <w:tc>
          <w:tcPr>
            <w:tcW w:type="dxa" w:w="5112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9"/>
              </w:rPr>
              <w:t>Nombre</w:t>
            </w:r>
          </w:p>
        </w:tc>
        <w:tc>
          <w:tcPr>
            <w:tcW w:type="dxa" w:w="216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9"/>
              </w:rPr>
              <w:t>Firma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Product Owner</w:t>
            </w:r>
          </w:p>
        </w:tc>
        <w:tc>
          <w:tcPr>
            <w:tcW w:type="dxa" w:w="51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Hugo Mauricio Romero Rodríguez</w:t>
            </w:r>
          </w:p>
        </w:tc>
        <w:tc>
          <w:tcPr>
            <w:tcW w:type="dxa" w:w="216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Scrum Master</w:t>
            </w:r>
          </w:p>
        </w:tc>
        <w:tc>
          <w:tcPr>
            <w:tcW w:type="dxa" w:w="51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Miguel Ángel Leal Pérez</w:t>
            </w:r>
          </w:p>
        </w:tc>
        <w:tc>
          <w:tcPr>
            <w:tcW w:type="dxa" w:w="216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Equipo de desarrollo</w:t>
            </w:r>
          </w:p>
        </w:tc>
        <w:tc>
          <w:tcPr>
            <w:tcW w:type="dxa" w:w="51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Omar Hernández Cervantes / Miguel Ángel Durazno Martínez</w:t>
            </w:r>
          </w:p>
        </w:tc>
        <w:tc>
          <w:tcPr>
            <w:tcW w:type="dxa" w:w="216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____________________</w:t>
            </w:r>
          </w:p>
        </w:tc>
      </w:tr>
    </w:tbl>
    <w:p>
      <w:pPr>
        <w:spacing w:after="60"/>
      </w:pPr>
    </w:p>
    <w:sectPr w:rsidR="00590EEA" w:rsidRPr="00B0585D" w:rsidSect="00FB6A0C">
      <w:headerReference w:type="default" r:id="rId12"/>
      <w:pgSz w:w="12240" w:h="15840"/>
      <w:pgMar w:top="1800" w:right="1080" w:bottom="1080" w:left="1080" w:header="85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C6F5B" w14:textId="77777777" w:rsidR="00F426BA" w:rsidRDefault="00F426BA" w:rsidP="00D02B01">
      <w:r>
        <w:separator/>
      </w:r>
    </w:p>
  </w:endnote>
  <w:endnote w:type="continuationSeparator" w:id="0">
    <w:p w14:paraId="6CEBB521" w14:textId="77777777" w:rsidR="00F426BA" w:rsidRDefault="00F426BA" w:rsidP="00D02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6619C" w14:textId="47800035" w:rsidR="00FB6A0C" w:rsidRDefault="00FB6A0C">
    <w:pPr>
      <w:pStyle w:val="Piedepgina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3607E9E" wp14:editId="6CC0011F">
          <wp:simplePos x="0" y="0"/>
          <wp:positionH relativeFrom="page">
            <wp:align>left</wp:align>
          </wp:positionH>
          <wp:positionV relativeFrom="paragraph">
            <wp:posOffset>-106680</wp:posOffset>
          </wp:positionV>
          <wp:extent cx="7975426" cy="347813"/>
          <wp:effectExtent l="0" t="0" r="0" b="0"/>
          <wp:wrapNone/>
          <wp:docPr id="48" name="Imagen 48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A4137" w14:textId="77777777" w:rsidR="00F426BA" w:rsidRDefault="00F426BA" w:rsidP="00D02B01">
      <w:r>
        <w:separator/>
      </w:r>
    </w:p>
  </w:footnote>
  <w:footnote w:type="continuationSeparator" w:id="0">
    <w:p w14:paraId="33CCF382" w14:textId="77777777" w:rsidR="00F426BA" w:rsidRDefault="00F426BA" w:rsidP="00D02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E02E0" w14:textId="2B51B631" w:rsidR="00FB6A0C" w:rsidRDefault="00FB6A0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EF63D96" wp14:editId="657C6244">
          <wp:simplePos x="0" y="0"/>
          <wp:positionH relativeFrom="page">
            <wp:align>left</wp:align>
          </wp:positionH>
          <wp:positionV relativeFrom="paragraph">
            <wp:posOffset>-469900</wp:posOffset>
          </wp:positionV>
          <wp:extent cx="2977515" cy="615950"/>
          <wp:effectExtent l="0" t="0" r="0" b="0"/>
          <wp:wrapNone/>
          <wp:docPr id="49" name="Imagen 49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11" b="59762"/>
                  <a:stretch/>
                </pic:blipFill>
                <pic:spPr bwMode="auto">
                  <a:xfrm>
                    <a:off x="0" y="0"/>
                    <a:ext cx="2977515" cy="615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5ED32C17" wp14:editId="78C7350A">
          <wp:simplePos x="0" y="0"/>
          <wp:positionH relativeFrom="page">
            <wp:align>left</wp:align>
          </wp:positionH>
          <wp:positionV relativeFrom="paragraph">
            <wp:posOffset>144145</wp:posOffset>
          </wp:positionV>
          <wp:extent cx="7975426" cy="347813"/>
          <wp:effectExtent l="0" t="0" r="0" b="0"/>
          <wp:wrapNone/>
          <wp:docPr id="50" name="Imagen 50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9FEB5" w14:textId="49861945" w:rsidR="00D02B01" w:rsidRDefault="00FB6A0C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5220BC2" wp14:editId="29E2EF8E">
          <wp:simplePos x="0" y="0"/>
          <wp:positionH relativeFrom="page">
            <wp:posOffset>-99059</wp:posOffset>
          </wp:positionH>
          <wp:positionV relativeFrom="paragraph">
            <wp:posOffset>-548640</wp:posOffset>
          </wp:positionV>
          <wp:extent cx="3086100" cy="827847"/>
          <wp:effectExtent l="0" t="0" r="0" b="0"/>
          <wp:wrapNone/>
          <wp:docPr id="46" name="Imagen 46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9762"/>
                  <a:stretch/>
                </pic:blipFill>
                <pic:spPr bwMode="auto">
                  <a:xfrm>
                    <a:off x="0" y="0"/>
                    <a:ext cx="3093273" cy="8297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2B92A025" wp14:editId="64F53900">
          <wp:simplePos x="0" y="0"/>
          <wp:positionH relativeFrom="page">
            <wp:align>left</wp:align>
          </wp:positionH>
          <wp:positionV relativeFrom="paragraph">
            <wp:posOffset>235585</wp:posOffset>
          </wp:positionV>
          <wp:extent cx="7975426" cy="347813"/>
          <wp:effectExtent l="0" t="0" r="0" b="0"/>
          <wp:wrapNone/>
          <wp:docPr id="47" name="Imagen 47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1AAE02E0" w14:textId="2B51B631" w:rsidR="00FB6A0C" w:rsidRDefault="00FB6A0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EF63D96" wp14:editId="657C6244">
          <wp:simplePos x="0" y="0"/>
          <wp:positionH relativeFrom="page">
            <wp:align>left</wp:align>
          </wp:positionH>
          <wp:positionV relativeFrom="paragraph">
            <wp:posOffset>-469900</wp:posOffset>
          </wp:positionV>
          <wp:extent cx="2977515" cy="615950"/>
          <wp:effectExtent l="0" t="0" r="0" b="0"/>
          <wp:wrapNone/>
          <wp:docPr id="49" name="Imagen 49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11" b="59762"/>
                  <a:stretch/>
                </pic:blipFill>
                <pic:spPr bwMode="auto">
                  <a:xfrm>
                    <a:off x="0" y="0"/>
                    <a:ext cx="2977515" cy="615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5ED32C17" wp14:editId="78C7350A">
          <wp:simplePos x="0" y="0"/>
          <wp:positionH relativeFrom="page">
            <wp:align>left</wp:align>
          </wp:positionH>
          <wp:positionV relativeFrom="paragraph">
            <wp:posOffset>144145</wp:posOffset>
          </wp:positionV>
          <wp:extent cx="7975426" cy="347813"/>
          <wp:effectExtent l="0" t="0" r="0" b="0"/>
          <wp:wrapNone/>
          <wp:docPr id="50" name="Imagen 50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341EE"/>
    <w:multiLevelType w:val="hybridMultilevel"/>
    <w:tmpl w:val="17DCBA3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9385C"/>
    <w:multiLevelType w:val="hybridMultilevel"/>
    <w:tmpl w:val="D610A530"/>
    <w:lvl w:ilvl="0" w:tplc="8AE2AA7A">
      <w:start w:val="1"/>
      <w:numFmt w:val="bullet"/>
      <w:lvlText w:val="●"/>
      <w:lvlJc w:val="left"/>
      <w:pPr>
        <w:ind w:left="720" w:hanging="360"/>
      </w:pPr>
    </w:lvl>
    <w:lvl w:ilvl="1" w:tplc="9B348642">
      <w:start w:val="1"/>
      <w:numFmt w:val="bullet"/>
      <w:lvlText w:val="○"/>
      <w:lvlJc w:val="left"/>
      <w:pPr>
        <w:ind w:left="1440" w:hanging="360"/>
      </w:pPr>
    </w:lvl>
    <w:lvl w:ilvl="2" w:tplc="F44CC264">
      <w:start w:val="1"/>
      <w:numFmt w:val="bullet"/>
      <w:lvlText w:val="■"/>
      <w:lvlJc w:val="left"/>
      <w:pPr>
        <w:ind w:left="2160" w:hanging="360"/>
      </w:pPr>
    </w:lvl>
    <w:lvl w:ilvl="3" w:tplc="1F161800">
      <w:start w:val="1"/>
      <w:numFmt w:val="bullet"/>
      <w:lvlText w:val="●"/>
      <w:lvlJc w:val="left"/>
      <w:pPr>
        <w:ind w:left="2880" w:hanging="360"/>
      </w:pPr>
    </w:lvl>
    <w:lvl w:ilvl="4" w:tplc="17929BC4">
      <w:start w:val="1"/>
      <w:numFmt w:val="bullet"/>
      <w:lvlText w:val="○"/>
      <w:lvlJc w:val="left"/>
      <w:pPr>
        <w:ind w:left="3600" w:hanging="360"/>
      </w:pPr>
    </w:lvl>
    <w:lvl w:ilvl="5" w:tplc="4B5A43A0">
      <w:start w:val="1"/>
      <w:numFmt w:val="bullet"/>
      <w:lvlText w:val="■"/>
      <w:lvlJc w:val="left"/>
      <w:pPr>
        <w:ind w:left="4320" w:hanging="360"/>
      </w:pPr>
    </w:lvl>
    <w:lvl w:ilvl="6" w:tplc="CBCAB6CC">
      <w:start w:val="1"/>
      <w:numFmt w:val="bullet"/>
      <w:lvlText w:val="●"/>
      <w:lvlJc w:val="left"/>
      <w:pPr>
        <w:ind w:left="5040" w:hanging="360"/>
      </w:pPr>
    </w:lvl>
    <w:lvl w:ilvl="7" w:tplc="44AE3C9E">
      <w:start w:val="1"/>
      <w:numFmt w:val="bullet"/>
      <w:lvlText w:val="●"/>
      <w:lvlJc w:val="left"/>
      <w:pPr>
        <w:ind w:left="5760" w:hanging="360"/>
      </w:pPr>
    </w:lvl>
    <w:lvl w:ilvl="8" w:tplc="F8A2FC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B33973"/>
    <w:multiLevelType w:val="hybridMultilevel"/>
    <w:tmpl w:val="8692F7A6"/>
    <w:lvl w:ilvl="0" w:tplc="32ECCFD2">
      <w:start w:val="1"/>
      <w:numFmt w:val="bullet"/>
      <w:lvlText w:val="•"/>
      <w:lvlJc w:val="left"/>
      <w:pPr>
        <w:ind w:left="720" w:hanging="360"/>
      </w:pPr>
    </w:lvl>
    <w:lvl w:ilvl="1" w:tplc="21728FE8">
      <w:numFmt w:val="decimal"/>
      <w:lvlText w:val=""/>
      <w:lvlJc w:val="left"/>
    </w:lvl>
    <w:lvl w:ilvl="2" w:tplc="4926C560">
      <w:numFmt w:val="decimal"/>
      <w:lvlText w:val=""/>
      <w:lvlJc w:val="left"/>
    </w:lvl>
    <w:lvl w:ilvl="3" w:tplc="99B8CB80">
      <w:numFmt w:val="decimal"/>
      <w:lvlText w:val=""/>
      <w:lvlJc w:val="left"/>
    </w:lvl>
    <w:lvl w:ilvl="4" w:tplc="8C1C87BE">
      <w:numFmt w:val="decimal"/>
      <w:lvlText w:val=""/>
      <w:lvlJc w:val="left"/>
    </w:lvl>
    <w:lvl w:ilvl="5" w:tplc="20361D58">
      <w:numFmt w:val="decimal"/>
      <w:lvlText w:val=""/>
      <w:lvlJc w:val="left"/>
    </w:lvl>
    <w:lvl w:ilvl="6" w:tplc="1C0096A0">
      <w:numFmt w:val="decimal"/>
      <w:lvlText w:val=""/>
      <w:lvlJc w:val="left"/>
    </w:lvl>
    <w:lvl w:ilvl="7" w:tplc="DCCE5CE0">
      <w:numFmt w:val="decimal"/>
      <w:lvlText w:val=""/>
      <w:lvlJc w:val="left"/>
    </w:lvl>
    <w:lvl w:ilvl="8" w:tplc="9618A3A4">
      <w:numFmt w:val="decimal"/>
      <w:lvlText w:val=""/>
      <w:lvlJc w:val="left"/>
    </w:lvl>
  </w:abstractNum>
  <w:num w:numId="1" w16cid:durableId="1100220731">
    <w:abstractNumId w:val="1"/>
    <w:lvlOverride w:ilvl="0">
      <w:startOverride w:val="1"/>
    </w:lvlOverride>
  </w:num>
  <w:num w:numId="2" w16cid:durableId="1467314663">
    <w:abstractNumId w:val="0"/>
  </w:num>
  <w:abstractNum w:abstractNumId="3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">
    <w:abstractNumId w:val="3"/>
  </w:num>
  <w:abstractNum w:abstractNumId="4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EEA"/>
    <w:rsid w:val="001409BC"/>
    <w:rsid w:val="00177CED"/>
    <w:rsid w:val="00406167"/>
    <w:rsid w:val="004B6934"/>
    <w:rsid w:val="00590EEA"/>
    <w:rsid w:val="00AE66C2"/>
    <w:rsid w:val="00B0585D"/>
    <w:rsid w:val="00B8694A"/>
    <w:rsid w:val="00D02B01"/>
    <w:rsid w:val="00D60F9A"/>
    <w:rsid w:val="00F426BA"/>
    <w:rsid w:val="00F74219"/>
    <w:rsid w:val="00FB6A0C"/>
    <w:rsid w:val="00FD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6F0BB"/>
  <w15:docId w15:val="{C8F06309-AB3F-41BF-BDF2-84471F14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85D"/>
    <w:pPr>
      <w:spacing w:after="120" w:line="259" w:lineRule="auto"/>
      <w:jc w:val="both"/>
    </w:pPr>
    <w:rPr>
      <w:rFonts w:ascii="Times New Roman" w:hAnsi="Times New Roman"/>
      <w:sz w:val="22"/>
    </w:rPr>
  </w:style>
  <w:style w:type="paragraph" w:styleId="Ttulo1">
    <w:name w:val="heading 1"/>
    <w:uiPriority w:val="9"/>
    <w:qFormat/>
    <w:rsid w:val="00FB6A0C"/>
    <w:pPr>
      <w:keepNext/>
      <w:spacing w:before="360" w:after="200"/>
      <w:jc w:val="both"/>
      <w:outlineLvl w:val="0"/>
    </w:pPr>
    <w:rPr>
      <w:rFonts w:ascii="Times New Roman" w:hAnsi="Times New Roman"/>
      <w:b/>
      <w:color w:val="1A1A1A"/>
      <w:sz w:val="36"/>
      <w:szCs w:val="32"/>
    </w:rPr>
  </w:style>
  <w:style w:type="paragraph" w:styleId="Ttulo2">
    <w:name w:val="heading 2"/>
    <w:uiPriority w:val="9"/>
    <w:semiHidden/>
    <w:unhideWhenUsed/>
    <w:qFormat/>
    <w:pPr>
      <w:keepNext/>
      <w:spacing w:before="280" w:after="140"/>
      <w:outlineLvl w:val="1"/>
    </w:pPr>
    <w:rPr>
      <w:rFonts w:ascii="Times New Roman" w:hAnsi="Times New Roman"/>
      <w:b/>
      <w:color w:val="1A1A1A"/>
      <w:sz w:val="28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100"/>
      <w:outlineLvl w:val="2"/>
    </w:pPr>
    <w:rPr>
      <w:rFonts w:ascii="Times New Roman" w:hAnsi="Times New Roman"/>
      <w:b/>
      <w:color w:val="1A1A1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02B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2B01"/>
  </w:style>
  <w:style w:type="paragraph" w:styleId="Piedepgina">
    <w:name w:val="footer"/>
    <w:basedOn w:val="Normal"/>
    <w:link w:val="PiedepginaCar"/>
    <w:uiPriority w:val="99"/>
    <w:unhideWhenUsed/>
    <w:rsid w:val="00D02B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B01"/>
  </w:style>
  <w:style w:type="paragraph" w:styleId="TDC1">
    <w:name w:val="toc 1"/>
    <w:basedOn w:val="Normal"/>
    <w:next w:val="Normal"/>
    <w:autoRedefine/>
    <w:uiPriority w:val="39"/>
    <w:unhideWhenUsed/>
    <w:rsid w:val="001409B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A35F3-C19E-4FBB-8A94-A8754EAAC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SEAL</dc:creator>
  <cp:lastModifiedBy>Migue Leal</cp:lastModifiedBy>
  <cp:revision>2</cp:revision>
  <dcterms:created xsi:type="dcterms:W3CDTF">2026-08-11T00:32:00Z</dcterms:created>
  <dcterms:modified xsi:type="dcterms:W3CDTF">2026-08-11T00:32:00Z</dcterms:modified>
  <dc:title>Plan de Pruebas SEAL</dc:title>
  <dc:subject>Casos de prueba, resultados obtenidos y evidencias</dc:subject>
</cp:coreProperties>
</file>