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40"/>
      </w:pPr>
    </w:p>
    <w:p>
      <w:pPr>
        <w:spacing w:after="520"/>
        <w:jc w:val="center"/>
      </w:pPr>
      <w:r>
        <w:rPr>
          <w:rFonts w:ascii="Times New Roman" w:hAnsi="Times New Roman"/>
          <w:b/>
          <w:color w:val="1A1A1A"/>
          <w:sz w:val="36"/>
        </w:rPr>
        <w:t>REPORTE DEL PROYECTO</w:t>
      </w:r>
    </w:p>
    <w:p>
      <w:pPr>
        <w:spacing w:after="560"/>
        <w:jc w:val="center"/>
      </w:pPr>
      <w:r>
        <w:rPr>
          <w:rFonts w:ascii="Times New Roman" w:hAnsi="Times New Roman"/>
          <w:b/>
          <w:color w:val="1A1A1A"/>
          <w:sz w:val="32"/>
        </w:rPr>
        <w:t>SEAL - SISTEMA DE ELABORACIÓN Y AUTOMATIZACIÓN</w:t>
        <w:br/>
        <w:t>LEGAL DE CONTRATOS</w:t>
      </w:r>
    </w:p>
    <w:p>
      <w:pPr>
        <w:spacing w:after="100"/>
        <w:jc w:val="center"/>
      </w:pPr>
      <w:r>
        <w:rPr>
          <w:rFonts w:ascii="Times New Roman" w:hAnsi="Times New Roman"/>
          <w:color w:val="1A1A1A"/>
          <w:sz w:val="28"/>
        </w:rPr>
        <w:t>UNIVERSIDAD TECNOLÓGICA DE SAN JUAN DEL RÍO</w:t>
      </w:r>
    </w:p>
    <w:p>
      <w:pPr>
        <w:spacing w:after="100"/>
        <w:jc w:val="center"/>
      </w:pPr>
      <w:r>
        <w:rPr>
          <w:rFonts w:ascii="Times New Roman" w:hAnsi="Times New Roman"/>
          <w:color w:val="1A1A1A"/>
          <w:sz w:val="28"/>
        </w:rPr>
        <w:t>INGENIERÍA EN DESARROLLO Y GESTIÓN DE SOFTWARE</w:t>
      </w:r>
    </w:p>
    <w:p>
      <w:pPr>
        <w:spacing w:after="100"/>
        <w:jc w:val="center"/>
      </w:pPr>
      <w:r>
        <w:rPr>
          <w:rFonts w:ascii="Times New Roman" w:hAnsi="Times New Roman"/>
          <w:color w:val="1A1A1A"/>
          <w:sz w:val="28"/>
        </w:rPr>
        <w:t>ADMINISTRACIÓN DE PROYECTOS DE TI</w:t>
      </w:r>
    </w:p>
    <w:p>
      <w:pPr>
        <w:spacing w:after="200"/>
      </w:pPr>
    </w:p>
    <w:p>
      <w:pPr>
        <w:spacing w:after="40"/>
        <w:jc w:val="center"/>
      </w:pPr>
      <w:r>
        <w:rPr>
          <w:rFonts w:ascii="Times New Roman" w:hAnsi="Times New Roman"/>
          <w:b/>
          <w:color w:val="1A1A1A"/>
          <w:sz w:val="30"/>
        </w:rPr>
        <w:t>PROFESORA:</w:t>
      </w:r>
    </w:p>
    <w:p>
      <w:pPr>
        <w:spacing w:after="180"/>
        <w:jc w:val="center"/>
      </w:pPr>
      <w:r>
        <w:rPr>
          <w:rFonts w:ascii="Times New Roman" w:hAnsi="Times New Roman"/>
          <w:color w:val="1A1A1A"/>
          <w:sz w:val="27"/>
        </w:rPr>
        <w:t>Alicia Primero Álvarez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1A1A1A"/>
          <w:sz w:val="30"/>
        </w:rPr>
        <w:t>GRUPO:</w:t>
      </w:r>
    </w:p>
    <w:p>
      <w:pPr>
        <w:spacing w:after="180"/>
        <w:jc w:val="center"/>
      </w:pPr>
      <w:r>
        <w:rPr>
          <w:rFonts w:ascii="Times New Roman" w:hAnsi="Times New Roman"/>
          <w:color w:val="1A1A1A"/>
          <w:sz w:val="27"/>
        </w:rPr>
        <w:t>DS01SV-25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1A1A1A"/>
          <w:sz w:val="30"/>
        </w:rPr>
        <w:t>INTEGRANTES:</w:t>
      </w:r>
    </w:p>
    <w:p>
      <w:pPr>
        <w:spacing w:after="180"/>
        <w:jc w:val="center"/>
      </w:pPr>
      <w:r>
        <w:rPr>
          <w:rFonts w:ascii="Times New Roman" w:hAnsi="Times New Roman"/>
          <w:color w:val="1A1A1A"/>
          <w:sz w:val="27"/>
        </w:rPr>
        <w:t>Hugo Mauricio Romero Rodríguez</w:t>
        <w:br/>
        <w:t>Miguel Ángel Leal Pérez</w:t>
        <w:br/>
        <w:t>Miguel Ángel Durazno Martínez</w:t>
        <w:br/>
        <w:t>Omar Hernández Cervantes</w:t>
      </w:r>
    </w:p>
    <w:p>
      <w:pPr>
        <w:spacing w:before="180" w:after="0"/>
        <w:jc w:val="right"/>
      </w:pPr>
      <w:r>
        <w:rPr>
          <w:rFonts w:ascii="Times New Roman" w:hAnsi="Times New Roman"/>
          <w:color w:val="1A1A1A"/>
          <w:sz w:val="22"/>
        </w:rPr>
        <w:t>10 de agosto de 2026</w:t>
      </w:r>
    </w:p>
    <w:p>
      <w:pPr>
        <w:jc w:val="right"/>
      </w:pPr>
      <w:r>
        <w:rPr>
          <w:rFonts w:ascii="Times New Roman" w:hAnsi="Times New Roman"/>
          <w:color w:val="1A1A1A"/>
          <w:sz w:val="22"/>
        </w:rPr>
        <w:t>San Juan del Río, Qro.</w:t>
      </w:r>
    </w:p>
    <w:p>
      <w:pPr>
        <w:sectPr>
          <w:headerReference w:type="default" r:id="rId12"/>
          <w:headerReference w:type="first" r:id="rId13"/>
          <w:footerReference w:type="first" r:id="rId14"/>
          <w:headerReference w:type="even" r:id="rId17"/>
          <w:pgSz w:w="12240" w:h="15840"/>
          <w:pgMar w:top="1800" w:right="1080" w:bottom="1080" w:left="1080" w:header="850" w:footer="708" w:gutter="0"/>
          <w:cols w:space="720"/>
          <w:titlePg/>
          <w:docGrid w:linePitch="360"/>
        </w:sectPr>
      </w:pPr>
    </w:p>
    <w:p>
      <w:pPr>
        <w:spacing w:before="360" w:after="320"/>
        <w:jc w:val="center"/>
      </w:pPr>
      <w:r>
        <w:rPr>
          <w:rFonts w:ascii="Times New Roman" w:hAnsi="Times New Roman"/>
          <w:b/>
          <w:color w:val="1A1A1A"/>
          <w:sz w:val="32"/>
        </w:rPr>
        <w:t>ÍNDICE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Resumen ejecutivo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Indicadores clave de rendimiento (KPIs)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Módulos y alcance entregado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Estado del proyecto y calidad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Incidencias, riesgos y acciones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Lecciones aprendidas y trabajo futuro</w:t>
      </w:r>
    </w:p>
    <w:p>
      <w:pPr>
        <w:numPr>
          <w:ilvl w:val="0"/>
          <w:numId w:val="3"/>
        </w:numPr>
        <w:spacing w:after="140"/>
        <w:ind w:left="432" w:hanging="259"/>
      </w:pPr>
      <w:r>
        <w:rPr>
          <w:rFonts w:ascii="Times New Roman" w:hAnsi="Times New Roman"/>
          <w:color w:val="1A1A1A"/>
          <w:sz w:val="23"/>
        </w:rPr>
        <w:t>Conclusión y fuentes de evidencia</w:t>
      </w:r>
    </w:p>
    <w:p>
      <w:r>
        <w:br w:type="page"/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1. RESUMEN EJECUTIVO</w:t>
      </w: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2"/>
        </w:rPr>
        <w:t>SEAL es una plataforma web para elaborar, administrar, asignar y firmar contratos. La solución integra un frontend Next.js, una API REST con Express, persistencia y autenticación mediante Firebase, generación de documentos y PDF, firma móvil mediante token/QR, mensajería, asistencia con IA y controles de acceso por rol.</w:t>
      </w: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2"/>
        </w:rPr>
        <w:t>Al corte del 10 de agosto de 2026, el proyecto dispone de una versión desplegada en una máquina virtual de Azure mediante Docker, Nginx y HTTPS de Let's Encrypt. Las pruebas documentadas cubren lógica crítica de plantillas, integración del inicio de sesión, carga del sitio, accesibilidad y verificación de infraestructura. El resultado general es favorable, con acciones pendientes en cobertura de ramas, rendimiento de frontend, auditoría de dependencias moderadas y ampliación de pruebas end-to-end.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9360"/>
      </w:tblGrid>
      <w:tr>
        <w:tc>
          <w:tcPr>
            <w:tcW w:type="dxa" w:w="9360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A1A1A"/>
                <w:sz w:val="22"/>
              </w:rPr>
              <w:t xml:space="preserve">Estado general: </w:t>
            </w:r>
            <w:r>
              <w:rPr>
                <w:rFonts w:ascii="Times New Roman" w:hAnsi="Times New Roman"/>
                <w:color w:val="1A1A1A"/>
                <w:sz w:val="22"/>
              </w:rPr>
              <w:t>EN CONTROL CON ACCIONES DE MEJORA. Los criterios críticos de liberación documentados se aprobaron; no se registraron fallos HTTP en la prueba de carga de producción.</w:t>
            </w:r>
          </w:p>
        </w:tc>
        <w:trPr>
          <w:tblHeader/>
        </w:trPr>
      </w:tr>
    </w:tbl>
    <w:p>
      <w:pPr>
        <w:spacing w:after="60"/>
      </w:pP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1"/>
        </w:rPr>
        <w:t>Nota de alcance del reporte: no se recibió una línea base formal de presupuesto ni de cronograma, por lo que no se inventan indicadores de costo o variación de calendario. Los KPIs siguientes se limitan a evidencia verificable del repositorio y de los reportes QA.</w:t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2. INDICADORES CLAVE DE RENDIMIENTO (KPIs)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2232"/>
        <w:gridCol w:w="2232"/>
        <w:gridCol w:w="1296"/>
        <w:gridCol w:w="3600"/>
      </w:tblGrid>
      <w:tr>
        <w:trPr>
          <w:tblHeader w:val="true"/>
          <w:cantSplit/>
        </w:trPr>
        <w:tc>
          <w:tcPr>
            <w:tcW w:type="dxa" w:w="223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Indicador</w:t>
            </w:r>
          </w:p>
        </w:tc>
        <w:tc>
          <w:tcPr>
            <w:tcW w:type="dxa" w:w="2232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Resultado / meta</w:t>
            </w:r>
          </w:p>
        </w:tc>
        <w:tc>
          <w:tcPr>
            <w:tcW w:type="dxa" w:w="129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Estado</w:t>
            </w:r>
          </w:p>
        </w:tc>
        <w:tc>
          <w:tcPr>
            <w:tcW w:type="dxa" w:w="360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Casos automatizados aprobados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13/13 (100 %) / meta 100 %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11 Jest + 2 Playwright; RESULTADOS_QA_PRODUCCION.md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Cobertura de código seleccionado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46/46 líneas; 50/51 sent. / meta ≥ 80 %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100 % líneas; 98.03 % sentencias; coverage-summary.json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Cobertura de ramas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19/24 (79.16 %) / meta ≥ 80 %</w:t>
            </w:r>
          </w:p>
        </w:tc>
        <w:tc>
          <w:tcPr>
            <w:tcW w:type="dxa" w:w="1296"/>
            <w:vAlign w:val="center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ATENCIÓN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Back/coverage/coverage-summary.json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Carga: percentil 95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290.56 ms / meta &lt; 500 ms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qa/reports/k6/summary-production.json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Carga: tasa de error HTTP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0.00 % / meta &lt; 1 %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qa/reports/k6/summary-production.json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Checks de carga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4,009/4,024 (99.63 %) / meta &gt; 99 %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qa/reports/k6/summary-production.json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Accesibilidad Lighthouse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95/100 / meta ≥ 85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qa/reports/lighthouse/seal-local-http.report.json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Mejores prácticas Lighthouse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96/100 / meta ≥ 85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Mismo reporte Lighthouse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Rendimiento Lighthouse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74/100 / meta ≥ 85</w:t>
            </w:r>
          </w:p>
        </w:tc>
        <w:tc>
          <w:tcPr>
            <w:tcW w:type="dxa" w:w="1296"/>
            <w:vAlign w:val="center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ATENCIÓN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FCP 0.9 s; LCP 5.5 s; reporte local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Verificación de producción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HTTPS, /login y /api/health aprobados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docs/release/RESULTADOS_QA_PRODUCCION.md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Vulnerabilidades altas/críticas</w:t>
            </w:r>
          </w:p>
        </w:tc>
        <w:tc>
          <w:tcPr>
            <w:tcW w:type="dxa" w:w="223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 / meta 0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CUMPLE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0 frontend; 0 altas/críticas backend; 8 moderadas pendientes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3. MÓDULOS Y ALCANCE ENTREGADO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2376"/>
        <w:gridCol w:w="6984"/>
      </w:tblGrid>
      <w:tr>
        <w:trPr>
          <w:tblHeader w:val="true"/>
          <w:cantSplit/>
        </w:trPr>
        <w:tc>
          <w:tcPr>
            <w:tcW w:type="dxa" w:w="237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Módulo</w:t>
            </w:r>
          </w:p>
        </w:tc>
        <w:tc>
          <w:tcPr>
            <w:tcW w:type="dxa" w:w="6984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9"/>
              </w:rPr>
              <w:t>Resultado entregado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Autenticación y usuarios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Inicio de sesión, activación, cambio/restablecimiento de contraseña, invitaciones, perfiles, roles y deshabilitación de usuarios.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Contratos y plantillas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Carga de contratos, catálogo de placeholders, versionado, comparación, borradores, publicación, clonación y bloqueo de edición.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Asignaciones y flujo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Prevalidación, creación de asignaciones, mensajes, aprobación/rechazo, PDF y seguimiento para administrador y cliente.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Firma digital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Generación y validación de tokens, flujo móvil, registro de firma y consulta de evidencia de firma.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IA y colaboración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Chats administrativos, edición asistida de plantillas, publicación a contrato y preguntas contextualizadas en asignaciones.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Interfaz y cumplimiento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Dashboard, clientes, contratos, plantillas, notificaciones, bitácora, ajustes, política de privacidad y protección de datos.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Infraestructura y liberación</w:t>
            </w:r>
          </w:p>
        </w:tc>
        <w:tc>
          <w:tcPr>
            <w:tcW w:type="dxa" w:w="69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9"/>
              </w:rPr>
              <w:t>Docker Compose, proxy Nginx, HTTPS/Certbot, health checks, scripts de despliegue, verificación, rollback y límites para VM.</w:t>
            </w:r>
          </w:p>
        </w:tc>
      </w:tr>
    </w:tbl>
    <w:p>
      <w:pPr>
        <w:spacing w:after="60"/>
      </w:pP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1"/>
        </w:rPr>
        <w:t>El inventario del repositorio contiene 62 endpoints Express y 16 páginas Next.js. Este conteo describe superficie implementada, no cobertura funcional completa; por ello no se presenta como porcentaje de avance.</w:t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4. ESTADO DEL PROYECTO Y CALIDAD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4.1 Calidad funcional y técnica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Jest aprobó 11 pruebas sobre extracción, validación y renderizado seguro de placeholders, escape de HTML y generación de hash SHA-256.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Playwright aprobó dos escenarios de integración del login: autenticación válida con almacenamiento de sesión/redirección y rechazo 401 sin crear sesión.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El frontend completó lint y compilación de producción durante la revisión del 10 de agosto de 2026.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La cobertura reportada se refiere a tres utilidades críticas seleccionadas; no representa a todo el backend.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4.2 Rendimiento, disponibilidad y seguridad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k6 ejecutó 50 usuarios virtuales durante 30 segundos en producción: 1,342 solicitudes, 0 % de error HTTP, promedio de 124.91 ms y p95 de 290.56 ms.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Quince verificaciones individuales superaron 500 ms (máximo 515.86 ms), aunque el percentil global y la tasa de checks de 99.63 % cumplieron los umbrales.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La verificación de producción confirmó redirección HTTP a HTTPS, certificado válido, /login HTTP 200 y /api/health con respuesta {ok:true}.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La auditoría reportó cero vulnerabilidades conocidas de producción en frontend y cero altas/críticas en backend; permanecen ocho moderadas transitivas asociadas al ecosistema Firebase.</w:t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5. INCIDENCIAS, RIESGOS Y ACCIONES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9A9A9A"/>
          <w:left w:val="single" w:sz="5" w:color="9A9A9A"/>
          <w:bottom w:val="single" w:sz="5" w:color="9A9A9A"/>
          <w:right w:val="single" w:sz="5" w:color="9A9A9A"/>
          <w:insideH w:val="single" w:sz="5" w:color="9A9A9A"/>
          <w:insideV w:val="single" w:sz="5" w:color="9A9A9A"/>
        </w:tblBorders>
      </w:tblPr>
      <w:tblGrid>
        <w:gridCol w:w="2448"/>
        <w:gridCol w:w="1800"/>
        <w:gridCol w:w="3816"/>
        <w:gridCol w:w="1296"/>
      </w:tblGrid>
      <w:tr>
        <w:trPr>
          <w:tblHeader w:val="true"/>
          <w:cantSplit/>
        </w:trPr>
        <w:tc>
          <w:tcPr>
            <w:tcW w:type="dxa" w:w="2448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Incidencia / riesgo</w:t>
            </w:r>
          </w:p>
        </w:tc>
        <w:tc>
          <w:tcPr>
            <w:tcW w:type="dxa" w:w="1800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Impacto</w:t>
            </w:r>
          </w:p>
        </w:tc>
        <w:tc>
          <w:tcPr>
            <w:tcW w:type="dxa" w:w="381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Acción</w:t>
            </w:r>
          </w:p>
        </w:tc>
        <w:tc>
          <w:tcPr>
            <w:tcW w:type="dxa" w:w="1296"/>
            <w:shd w:fill="F4ECD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Nginx conservaba direcciones internas anteriores al recrear contenedores</w:t>
            </w:r>
          </w:p>
        </w:tc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Alto: respuestas 502 tras reconstrucción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Scripts de release y rollback reinician Nginx para resolver nuevamente frontend y backend.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RESUELTO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Lighthouse no abrió Chrome desde macOS contra producción</w:t>
            </w:r>
          </w:p>
        </w:tc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Medio: falta medición Lighthouse productiva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Se conservó el reporte local de los mismos contenedores; repetir desde CI o desde otra estación.</w:t>
            </w:r>
          </w:p>
        </w:tc>
        <w:tc>
          <w:tcPr>
            <w:tcW w:type="dxa" w:w="1296"/>
            <w:vAlign w:val="center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ATENCIÓN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Avisos de seguridad en Next.js</w:t>
            </w:r>
          </w:p>
        </w:tc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Alto: exposición potencial de dependencias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Actualización de Next.js 16.1.6 a 16.3.0 y nueva auditoría.</w:t>
            </w:r>
          </w:p>
        </w:tc>
        <w:tc>
          <w:tcPr>
            <w:tcW w:type="dxa" w:w="1296"/>
            <w:vAlign w:val="center"/>
            <w:shd w:fill="DDEBDD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RESUELTO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Cobertura de ramas de 79.16 %</w:t>
            </w:r>
          </w:p>
        </w:tc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Medio: rutas alternativas sin validar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Agregar casos para ramas restantes y elevar la meta a 85 %.</w:t>
            </w:r>
          </w:p>
        </w:tc>
        <w:tc>
          <w:tcPr>
            <w:tcW w:type="dxa" w:w="1296"/>
            <w:vAlign w:val="center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ATENCIÓN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LCP de 5.5 s y Performance 74</w:t>
            </w:r>
          </w:p>
        </w:tc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Medio: experiencia inicial lenta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Perfilar carga, dividir JavaScript, optimizar fuentes/recursos y repetir Lighthouse.</w:t>
            </w:r>
          </w:p>
        </w:tc>
        <w:tc>
          <w:tcPr>
            <w:tcW w:type="dxa" w:w="1296"/>
            <w:vAlign w:val="center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ATENCIÓN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Ocho dependencias moderadas transitivas</w:t>
            </w:r>
          </w:p>
        </w:tc>
        <w:tc>
          <w:tcPr>
            <w:tcW w:type="dxa" w:w="18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Medio: deuda técnica de seguridad</w:t>
            </w:r>
          </w:p>
        </w:tc>
        <w:tc>
          <w:tcPr>
            <w:tcW w:type="dxa" w:w="381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1A1A1A"/>
                <w:sz w:val="17"/>
              </w:rPr>
              <w:t>Evaluar actualización mayor de Firebase en rama controlada y ejecutar regresión.</w:t>
            </w:r>
          </w:p>
        </w:tc>
        <w:tc>
          <w:tcPr>
            <w:tcW w:type="dxa" w:w="1296"/>
            <w:vAlign w:val="center"/>
            <w:shd w:fill="FFF0CC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1A1A1A"/>
                <w:sz w:val="17"/>
              </w:rPr>
              <w:t>ATENCIÓN</w:t>
            </w:r>
          </w:p>
        </w:tc>
      </w:tr>
    </w:tbl>
    <w:p>
      <w:pPr>
        <w:spacing w:after="60"/>
      </w:pP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6. LECCIONES APRENDIDAS Y TRABAJO FUTURO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Conservar evidencia ejecutable en el repositorio permite distinguir resultados comprobados de funcionalidades únicamente implementadas.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Los umbrales globales de carga deben acompañarse de percentiles, máximos y checks individuales para evitar conclusiones incompletas.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El reinicio coordinado del proxy es parte del despliegue cuando los contenedores cambian de dirección interna.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Los datos de prueba y las evidencias deben ser ficticios y no exponer credenciales, contratos reales ni datos personales.</w:t>
      </w:r>
    </w:p>
    <w:p>
      <w:pPr>
        <w:pStyle w:val="Ttulo2"/>
        <w:jc w:val="left"/>
        <w:keepNext/>
        <w:keepLines/>
      </w:pPr>
      <w:r>
        <w:rPr>
          <w:rFonts w:ascii="Times New Roman" w:hAnsi="Times New Roman"/>
          <w:b/>
          <w:color w:val="1A1A1A"/>
          <w:sz w:val="28"/>
        </w:rPr>
        <w:t>6.1 Roadmap recomendado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Ampliar Playwright a gestión de usuarios, contrato, asignación, firma móvil y control de roles.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Elevar la cobertura de ramas a por lo menos 85 % sin presentar la cobertura de utilidades seleccionadas como cobertura total del backend.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Reducir LCP a menos de 2.5 s y obtener Performance Lighthouse ≥ 85 en producción.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Resolver o aceptar formalmente las ocho dependencias moderadas y automatizar auditorías en cada liberación.</w:t>
      </w:r>
    </w:p>
    <w:p>
      <w:pPr>
        <w:numPr>
          <w:ilvl w:val="0"/>
          <w:numId w:val="4"/>
        </w:numPr>
        <w:spacing w:after="60"/>
      </w:pPr>
      <w:r>
        <w:rPr>
          <w:rFonts w:ascii="Times New Roman" w:hAnsi="Times New Roman"/>
          <w:color w:val="1A1A1A"/>
          <w:sz w:val="21"/>
        </w:rPr>
        <w:t>Mantener un tablero histórico de KPIs por versión para observar tendencia, no sólo una medición aislada.</w:t>
      </w:r>
    </w:p>
    <w:p>
      <w:r>
        <w:br w:type="page"/>
      </w:r>
    </w:p>
    <w:p>
      <w:pPr>
        <w:pStyle w:val="Ttulo1"/>
        <w:jc w:val="center"/>
        <w:keepNext/>
        <w:keepLines/>
      </w:pPr>
      <w:r>
        <w:rPr>
          <w:rFonts w:ascii="Times New Roman" w:hAnsi="Times New Roman"/>
          <w:b/>
          <w:color w:val="1A1A1A"/>
          <w:sz w:val="36"/>
        </w:rPr>
        <w:t>7. CONCLUSIÓN Y FUENTES DE EVIDENCIA</w:t>
      </w:r>
    </w:p>
    <w:p>
      <w:pPr>
        <w:spacing w:after="120"/>
        <w:jc w:val="both"/>
        <w:keepLines/>
      </w:pPr>
      <w:r>
        <w:rPr>
          <w:rFonts w:ascii="Times New Roman" w:hAnsi="Times New Roman"/>
          <w:color w:val="1A1A1A"/>
          <w:sz w:val="22"/>
        </w:rPr>
        <w:t>SEAL cuenta con una base funcional e infraestructura de liberación verificadas. El proyecto cumple los controles críticos documentados de autenticación, lógica segura de plantillas, construcción, despliegue HTTPS y carga. La siguiente iteración debe concentrarse en ampliar la cobertura funcional end-to-end, mejorar el rendimiento visual y cerrar la deuda técnica señalada por cobertura de ramas y dependencias moderadas.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docs/release/RESULTADOS_QA_PRODUCCION.md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docs/release/RESULTADOS_QA_LOCAL.md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Back/coverage/coverage-summary.json y Back/coverage/index.html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qa/reports/playwright/index.html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qa/reports/k6/summary-production.json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qa/reports/lighthouse/seal-local-http.report.json</w:t>
      </w:r>
    </w:p>
    <w:p>
      <w:pPr>
        <w:numPr>
          <w:ilvl w:val="0"/>
          <w:numId w:val="1"/>
        </w:numPr>
        <w:spacing w:after="20"/>
      </w:pPr>
      <w:r>
        <w:rPr>
          <w:rFonts w:ascii="Times New Roman" w:hAnsi="Times New Roman"/>
          <w:color w:val="1A1A1A"/>
          <w:sz w:val="20"/>
        </w:rPr>
        <w:t>Front/.next/BUILD_ID (compilación generada durante la revisión)</w:t>
      </w:r>
    </w:p>
    <w:sectPr w:rsidR="00590EEA" w:rsidRPr="00B0585D" w:rsidSect="00FB6A0C">
      <w:headerReference w:type="default" r:id="rId12"/>
      <w:pgSz w:w="12240" w:h="15840"/>
      <w:pgMar w:top="1800" w:right="1080" w:bottom="1080" w:left="1080" w:header="8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C6F5B" w14:textId="77777777" w:rsidR="00F426BA" w:rsidRDefault="00F426BA" w:rsidP="00D02B01">
      <w:r>
        <w:separator/>
      </w:r>
    </w:p>
  </w:endnote>
  <w:endnote w:type="continuationSeparator" w:id="0">
    <w:p w14:paraId="6CEBB521" w14:textId="77777777" w:rsidR="00F426BA" w:rsidRDefault="00F426BA" w:rsidP="00D0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6619C" w14:textId="47800035" w:rsidR="00FB6A0C" w:rsidRDefault="00FB6A0C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3607E9E" wp14:editId="6CC0011F">
          <wp:simplePos x="0" y="0"/>
          <wp:positionH relativeFrom="page">
            <wp:align>left</wp:align>
          </wp:positionH>
          <wp:positionV relativeFrom="paragraph">
            <wp:posOffset>-106680</wp:posOffset>
          </wp:positionV>
          <wp:extent cx="7975426" cy="347813"/>
          <wp:effectExtent l="0" t="0" r="0" b="0"/>
          <wp:wrapNone/>
          <wp:docPr id="48" name="Imagen 48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A4137" w14:textId="77777777" w:rsidR="00F426BA" w:rsidRDefault="00F426BA" w:rsidP="00D02B01">
      <w:r>
        <w:separator/>
      </w:r>
    </w:p>
  </w:footnote>
  <w:footnote w:type="continuationSeparator" w:id="0">
    <w:p w14:paraId="33CCF382" w14:textId="77777777" w:rsidR="00F426BA" w:rsidRDefault="00F426BA" w:rsidP="00D02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E02E0" w14:textId="2B51B631" w:rsidR="00FB6A0C" w:rsidRDefault="00FB6A0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EF63D96" wp14:editId="657C6244">
          <wp:simplePos x="0" y="0"/>
          <wp:positionH relativeFrom="page">
            <wp:align>left</wp:align>
          </wp:positionH>
          <wp:positionV relativeFrom="paragraph">
            <wp:posOffset>-469900</wp:posOffset>
          </wp:positionV>
          <wp:extent cx="2977515" cy="615950"/>
          <wp:effectExtent l="0" t="0" r="0" b="0"/>
          <wp:wrapNone/>
          <wp:docPr id="49" name="Imagen 49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11" b="59762"/>
                  <a:stretch/>
                </pic:blipFill>
                <pic:spPr bwMode="auto">
                  <a:xfrm>
                    <a:off x="0" y="0"/>
                    <a:ext cx="2977515" cy="615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5ED32C17" wp14:editId="78C7350A">
          <wp:simplePos x="0" y="0"/>
          <wp:positionH relativeFrom="page">
            <wp:align>left</wp:align>
          </wp:positionH>
          <wp:positionV relativeFrom="paragraph">
            <wp:posOffset>144145</wp:posOffset>
          </wp:positionV>
          <wp:extent cx="7975426" cy="347813"/>
          <wp:effectExtent l="0" t="0" r="0" b="0"/>
          <wp:wrapNone/>
          <wp:docPr id="50" name="Imagen 50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9FEB5" w14:textId="49861945" w:rsidR="00D02B01" w:rsidRDefault="00FB6A0C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5220BC2" wp14:editId="29E2EF8E">
          <wp:simplePos x="0" y="0"/>
          <wp:positionH relativeFrom="page">
            <wp:posOffset>-99059</wp:posOffset>
          </wp:positionH>
          <wp:positionV relativeFrom="paragraph">
            <wp:posOffset>-548640</wp:posOffset>
          </wp:positionV>
          <wp:extent cx="3086100" cy="827847"/>
          <wp:effectExtent l="0" t="0" r="0" b="0"/>
          <wp:wrapNone/>
          <wp:docPr id="46" name="Imagen 46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762"/>
                  <a:stretch/>
                </pic:blipFill>
                <pic:spPr bwMode="auto">
                  <a:xfrm>
                    <a:off x="0" y="0"/>
                    <a:ext cx="3093273" cy="8297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B92A025" wp14:editId="64F53900">
          <wp:simplePos x="0" y="0"/>
          <wp:positionH relativeFrom="page">
            <wp:align>left</wp:align>
          </wp:positionH>
          <wp:positionV relativeFrom="paragraph">
            <wp:posOffset>235585</wp:posOffset>
          </wp:positionV>
          <wp:extent cx="7975426" cy="347813"/>
          <wp:effectExtent l="0" t="0" r="0" b="0"/>
          <wp:wrapNone/>
          <wp:docPr id="47" name="Imagen 47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AAE02E0" w14:textId="2B51B631" w:rsidR="00FB6A0C" w:rsidRDefault="00FB6A0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EF63D96" wp14:editId="657C6244">
          <wp:simplePos x="0" y="0"/>
          <wp:positionH relativeFrom="page">
            <wp:align>left</wp:align>
          </wp:positionH>
          <wp:positionV relativeFrom="paragraph">
            <wp:posOffset>-469900</wp:posOffset>
          </wp:positionV>
          <wp:extent cx="2977515" cy="615950"/>
          <wp:effectExtent l="0" t="0" r="0" b="0"/>
          <wp:wrapNone/>
          <wp:docPr id="49" name="Imagen 49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11" b="59762"/>
                  <a:stretch/>
                </pic:blipFill>
                <pic:spPr bwMode="auto">
                  <a:xfrm>
                    <a:off x="0" y="0"/>
                    <a:ext cx="2977515" cy="615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5ED32C17" wp14:editId="78C7350A">
          <wp:simplePos x="0" y="0"/>
          <wp:positionH relativeFrom="page">
            <wp:align>left</wp:align>
          </wp:positionH>
          <wp:positionV relativeFrom="paragraph">
            <wp:posOffset>144145</wp:posOffset>
          </wp:positionV>
          <wp:extent cx="7975426" cy="347813"/>
          <wp:effectExtent l="0" t="0" r="0" b="0"/>
          <wp:wrapNone/>
          <wp:docPr id="50" name="Imagen 50" descr="Image: item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41EE"/>
    <w:multiLevelType w:val="hybridMultilevel"/>
    <w:tmpl w:val="17DCBA3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9385C"/>
    <w:multiLevelType w:val="hybridMultilevel"/>
    <w:tmpl w:val="D610A530"/>
    <w:lvl w:ilvl="0" w:tplc="8AE2AA7A">
      <w:start w:val="1"/>
      <w:numFmt w:val="bullet"/>
      <w:lvlText w:val="●"/>
      <w:lvlJc w:val="left"/>
      <w:pPr>
        <w:ind w:left="720" w:hanging="360"/>
      </w:pPr>
    </w:lvl>
    <w:lvl w:ilvl="1" w:tplc="9B348642">
      <w:start w:val="1"/>
      <w:numFmt w:val="bullet"/>
      <w:lvlText w:val="○"/>
      <w:lvlJc w:val="left"/>
      <w:pPr>
        <w:ind w:left="1440" w:hanging="360"/>
      </w:pPr>
    </w:lvl>
    <w:lvl w:ilvl="2" w:tplc="F44CC264">
      <w:start w:val="1"/>
      <w:numFmt w:val="bullet"/>
      <w:lvlText w:val="■"/>
      <w:lvlJc w:val="left"/>
      <w:pPr>
        <w:ind w:left="2160" w:hanging="360"/>
      </w:pPr>
    </w:lvl>
    <w:lvl w:ilvl="3" w:tplc="1F161800">
      <w:start w:val="1"/>
      <w:numFmt w:val="bullet"/>
      <w:lvlText w:val="●"/>
      <w:lvlJc w:val="left"/>
      <w:pPr>
        <w:ind w:left="2880" w:hanging="360"/>
      </w:pPr>
    </w:lvl>
    <w:lvl w:ilvl="4" w:tplc="17929BC4">
      <w:start w:val="1"/>
      <w:numFmt w:val="bullet"/>
      <w:lvlText w:val="○"/>
      <w:lvlJc w:val="left"/>
      <w:pPr>
        <w:ind w:left="3600" w:hanging="360"/>
      </w:pPr>
    </w:lvl>
    <w:lvl w:ilvl="5" w:tplc="4B5A43A0">
      <w:start w:val="1"/>
      <w:numFmt w:val="bullet"/>
      <w:lvlText w:val="■"/>
      <w:lvlJc w:val="left"/>
      <w:pPr>
        <w:ind w:left="4320" w:hanging="360"/>
      </w:pPr>
    </w:lvl>
    <w:lvl w:ilvl="6" w:tplc="CBCAB6CC">
      <w:start w:val="1"/>
      <w:numFmt w:val="bullet"/>
      <w:lvlText w:val="●"/>
      <w:lvlJc w:val="left"/>
      <w:pPr>
        <w:ind w:left="5040" w:hanging="360"/>
      </w:pPr>
    </w:lvl>
    <w:lvl w:ilvl="7" w:tplc="44AE3C9E">
      <w:start w:val="1"/>
      <w:numFmt w:val="bullet"/>
      <w:lvlText w:val="●"/>
      <w:lvlJc w:val="left"/>
      <w:pPr>
        <w:ind w:left="5760" w:hanging="360"/>
      </w:pPr>
    </w:lvl>
    <w:lvl w:ilvl="8" w:tplc="F8A2FC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33973"/>
    <w:multiLevelType w:val="hybridMultilevel"/>
    <w:tmpl w:val="8692F7A6"/>
    <w:lvl w:ilvl="0" w:tplc="32ECCFD2">
      <w:start w:val="1"/>
      <w:numFmt w:val="bullet"/>
      <w:lvlText w:val="•"/>
      <w:lvlJc w:val="left"/>
      <w:pPr>
        <w:ind w:left="720" w:hanging="360"/>
      </w:pPr>
    </w:lvl>
    <w:lvl w:ilvl="1" w:tplc="21728FE8">
      <w:numFmt w:val="decimal"/>
      <w:lvlText w:val=""/>
      <w:lvlJc w:val="left"/>
    </w:lvl>
    <w:lvl w:ilvl="2" w:tplc="4926C560">
      <w:numFmt w:val="decimal"/>
      <w:lvlText w:val=""/>
      <w:lvlJc w:val="left"/>
    </w:lvl>
    <w:lvl w:ilvl="3" w:tplc="99B8CB80">
      <w:numFmt w:val="decimal"/>
      <w:lvlText w:val=""/>
      <w:lvlJc w:val="left"/>
    </w:lvl>
    <w:lvl w:ilvl="4" w:tplc="8C1C87BE">
      <w:numFmt w:val="decimal"/>
      <w:lvlText w:val=""/>
      <w:lvlJc w:val="left"/>
    </w:lvl>
    <w:lvl w:ilvl="5" w:tplc="20361D58">
      <w:numFmt w:val="decimal"/>
      <w:lvlText w:val=""/>
      <w:lvlJc w:val="left"/>
    </w:lvl>
    <w:lvl w:ilvl="6" w:tplc="1C0096A0">
      <w:numFmt w:val="decimal"/>
      <w:lvlText w:val=""/>
      <w:lvlJc w:val="left"/>
    </w:lvl>
    <w:lvl w:ilvl="7" w:tplc="DCCE5CE0">
      <w:numFmt w:val="decimal"/>
      <w:lvlText w:val=""/>
      <w:lvlJc w:val="left"/>
    </w:lvl>
    <w:lvl w:ilvl="8" w:tplc="9618A3A4">
      <w:numFmt w:val="decimal"/>
      <w:lvlText w:val=""/>
      <w:lvlJc w:val="left"/>
    </w:lvl>
  </w:abstractNum>
  <w:num w:numId="1" w16cid:durableId="1100220731">
    <w:abstractNumId w:val="1"/>
    <w:lvlOverride w:ilvl="0">
      <w:startOverride w:val="1"/>
    </w:lvlOverride>
  </w:num>
  <w:num w:numId="2" w16cid:durableId="1467314663">
    <w:abstractNumId w:val="0"/>
  </w:num>
  <w:abstractNum w:abstractNumId="3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EEA"/>
    <w:rsid w:val="001409BC"/>
    <w:rsid w:val="00177CED"/>
    <w:rsid w:val="00406167"/>
    <w:rsid w:val="004B6934"/>
    <w:rsid w:val="00590EEA"/>
    <w:rsid w:val="00AE66C2"/>
    <w:rsid w:val="00B0585D"/>
    <w:rsid w:val="00B8694A"/>
    <w:rsid w:val="00D02B01"/>
    <w:rsid w:val="00D60F9A"/>
    <w:rsid w:val="00F426BA"/>
    <w:rsid w:val="00F74219"/>
    <w:rsid w:val="00FB6A0C"/>
    <w:rsid w:val="00FD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6F0BB"/>
  <w15:docId w15:val="{C8F06309-AB3F-41BF-BDF2-84471F14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5D"/>
    <w:pPr>
      <w:spacing w:after="120" w:line="259" w:lineRule="auto"/>
      <w:jc w:val="both"/>
    </w:pPr>
    <w:rPr>
      <w:rFonts w:ascii="Times New Roman" w:hAnsi="Times New Roman"/>
      <w:sz w:val="22"/>
    </w:rPr>
  </w:style>
  <w:style w:type="paragraph" w:styleId="Ttulo1">
    <w:name w:val="heading 1"/>
    <w:uiPriority w:val="9"/>
    <w:qFormat/>
    <w:rsid w:val="00FB6A0C"/>
    <w:pPr>
      <w:keepNext/>
      <w:spacing w:before="360" w:after="200"/>
      <w:jc w:val="both"/>
      <w:outlineLvl w:val="0"/>
    </w:pPr>
    <w:rPr>
      <w:rFonts w:ascii="Times New Roman" w:hAnsi="Times New Roman"/>
      <w:b/>
      <w:color w:val="1A1A1A"/>
      <w:sz w:val="36"/>
      <w:szCs w:val="32"/>
    </w:rPr>
  </w:style>
  <w:style w:type="paragraph" w:styleId="Ttulo2">
    <w:name w:val="heading 2"/>
    <w:uiPriority w:val="9"/>
    <w:semiHidden/>
    <w:unhideWhenUsed/>
    <w:qFormat/>
    <w:pPr>
      <w:keepNext/>
      <w:spacing w:before="280" w:after="140"/>
      <w:outlineLvl w:val="1"/>
    </w:pPr>
    <w:rPr>
      <w:rFonts w:ascii="Times New Roman" w:hAnsi="Times New Roman"/>
      <w:b/>
      <w:color w:val="1A1A1A"/>
      <w:sz w:val="28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ascii="Times New Roman" w:hAnsi="Times New Roman"/>
      <w:b/>
      <w:color w:val="1A1A1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02B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B01"/>
  </w:style>
  <w:style w:type="paragraph" w:styleId="Piedepgina">
    <w:name w:val="footer"/>
    <w:basedOn w:val="Normal"/>
    <w:link w:val="PiedepginaCar"/>
    <w:uiPriority w:val="99"/>
    <w:unhideWhenUsed/>
    <w:rsid w:val="00D02B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B01"/>
  </w:style>
  <w:style w:type="paragraph" w:styleId="TDC1">
    <w:name w:val="toc 1"/>
    <w:basedOn w:val="Normal"/>
    <w:next w:val="Normal"/>
    <w:autoRedefine/>
    <w:uiPriority w:val="39"/>
    <w:unhideWhenUsed/>
    <w:rsid w:val="001409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A35F3-C19E-4FBB-8A94-A8754EAAC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SEAL</dc:creator>
  <cp:lastModifiedBy>Migue Leal</cp:lastModifiedBy>
  <cp:revision>2</cp:revision>
  <dcterms:created xsi:type="dcterms:W3CDTF">2026-08-11T00:32:00Z</dcterms:created>
  <dcterms:modified xsi:type="dcterms:W3CDTF">2026-08-11T00:32:00Z</dcterms:modified>
  <dc:title>Reporte del Proyecto SEAL</dc:title>
  <dc:subject>Indicadores, estado, calidad y acciones del proyecto</dc:subject>
</cp:coreProperties>
</file>