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Calibri" w:hAnsi="Calibri"/>
          <w:b/>
          <w:color w:val="181714"/>
          <w:sz w:val="46"/>
        </w:rPr>
        <w:t>LINEAMIENTOS DE PROTECCIÓN DE DATOS PERSONALES DE SEAL</w:t>
      </w:r>
    </w:p>
    <w:p>
      <w:pPr>
        <w:spacing w:after="300"/>
      </w:pPr>
      <w:r>
        <w:rPr>
          <w:rFonts w:ascii="Calibri" w:hAnsi="Calibri"/>
          <w:color w:val="595959"/>
          <w:sz w:val="28"/>
        </w:rPr>
        <w:t>Guía operativa y matriz de cumplimiento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Versión: </w:t>
      </w:r>
      <w:r>
        <w:rPr>
          <w:rFonts w:ascii="Calibri" w:hAnsi="Calibri"/>
          <w:sz w:val="21"/>
        </w:rPr>
        <w:t>1.1-2026-07-10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Última actualización: </w:t>
      </w:r>
      <w:r>
        <w:rPr>
          <w:rFonts w:ascii="Calibri" w:hAnsi="Calibri"/>
          <w:sz w:val="21"/>
        </w:rPr>
        <w:t>10 de julio de 2026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Alcance: </w:t>
      </w:r>
      <w:r>
        <w:rPr>
          <w:rFonts w:ascii="Calibri" w:hAnsi="Calibri"/>
          <w:sz w:val="21"/>
        </w:rPr>
        <w:t>Diseño, desarrollo, operación y retiro de funcionalidades de Seal Contratos</w:t>
      </w:r>
    </w:p>
    <w:p>
      <w:pPr>
        <w:spacing w:after="280"/>
        <w:pBdr>
          <w:bottom w:val="single" w:sz="10" w:space="10" w:color="2E74B5"/>
        </w:pBdr>
      </w:pPr>
      <w:r>
        <w:rPr>
          <w:rFonts w:ascii="Calibri" w:hAnsi="Calibri"/>
          <w:b/>
          <w:sz w:val="21"/>
        </w:rPr>
        <w:t xml:space="preserve">Responsable interno: </w:t>
      </w:r>
      <w:r>
        <w:rPr>
          <w:rFonts w:ascii="Calibri" w:hAnsi="Calibri"/>
          <w:sz w:val="21"/>
        </w:rPr>
        <w:t>Equipo desarrollador de Seal</w:t>
      </w:r>
    </w:p>
    <w:p>
      <w:pPr>
        <w:pStyle w:val="Heading1"/>
      </w:pPr>
      <w:r>
        <w:t>Objetivo</w:t>
      </w:r>
    </w:p>
    <w:p>
      <w:r>
        <w:rPr>
          <w:rFonts w:ascii="Calibri" w:hAnsi="Calibri"/>
        </w:rPr>
        <w:t>Establecer controles verificables para que Seal trate datos personales de forma lícita, informada, proporcional y segura. Los lineamientos se basan en los principios de licitud, finalidad, lealtad, consentimiento, calidad, proporcionalidad, información y responsabilidad de la LFPDPPP vigente.</w:t>
      </w:r>
    </w:p>
    <w:p>
      <w:pPr>
        <w:pStyle w:val="Heading1"/>
      </w:pPr>
      <w:r>
        <w:t>1. Consentimiento informado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Poner el aviso de privacidad a disposición antes de recabar datos.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Presentar casillas independientes, no premarcadas, y mantener la cuenta pendiente hasta la aceptación durante la activación.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Conservar fecha, hora y versión de cada documento aceptado.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Solicitar un nuevo consentimiento ante finalidades incompatibles o datos sensibles.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Permitir la revocación sin efectos retroactivos e informar sus consecuencias.</w:t>
      </w:r>
    </w:p>
    <w:p>
      <w:r>
        <w:rPr>
          <w:rFonts w:ascii="Calibri" w:hAnsi="Calibri"/>
          <w:b/>
        </w:rPr>
        <w:t>Aplicación actual:</w:t>
      </w:r>
      <w:r>
        <w:rPr>
          <w:rFonts w:ascii="Calibri" w:hAnsi="Calibri"/>
        </w:rPr>
        <w:t xml:space="preserve"> el administrador crea una cuenta en estado </w:t>
      </w:r>
      <w:r>
        <w:rPr>
          <w:rFonts w:ascii="Consolas" w:hAnsi="Consolas"/>
          <w:color w:val="595959"/>
          <w:sz w:val="19"/>
        </w:rPr>
        <w:t>PENDING_ACTIVATION</w:t>
      </w:r>
      <w:r>
        <w:rPr>
          <w:rFonts w:ascii="Calibri" w:hAnsi="Calibri"/>
        </w:rPr>
        <w:t xml:space="preserve"> y envía una invitación de un solo uso. </w:t>
      </w:r>
      <w:r>
        <w:rPr>
          <w:rFonts w:ascii="Consolas" w:hAnsi="Consolas"/>
          <w:color w:val="595959"/>
          <w:sz w:val="19"/>
        </w:rPr>
        <w:t>/activar-cuenta#token=...</w:t>
      </w:r>
      <w:r>
        <w:rPr>
          <w:rFonts w:ascii="Calibri" w:hAnsi="Calibri"/>
        </w:rPr>
        <w:t xml:space="preserve"> enlaza los dos documentos, exige ambas casillas y el backend valida el propósito del token, activa la cuenta y guarda la evidencia en </w:t>
      </w:r>
      <w:r>
        <w:rPr>
          <w:rFonts w:ascii="Consolas" w:hAnsi="Consolas"/>
          <w:color w:val="595959"/>
          <w:sz w:val="19"/>
        </w:rPr>
        <w:t>consent_record</w:t>
      </w:r>
      <w:r>
        <w:rPr>
          <w:rFonts w:ascii="Calibri" w:hAnsi="Calibri"/>
        </w:rPr>
        <w:t>. El fragmento evita enviar el secreto al servidor Web o registrarlo en la URL de la API.</w:t>
      </w:r>
    </w:p>
    <w:p>
      <w:pPr>
        <w:pStyle w:val="Heading1"/>
      </w:pPr>
      <w:r>
        <w:t>2. Finalidad y minimización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Definir una finalidad concreta para cada dato antes de agregarlo.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Recabar únicamente datos necesarios, adecuados y relevantes.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Limitar el alta administrativa a nombre, correo y puesto; la persona invitada únicamente crea su contraseña durante la activación.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Usar datos ficticios o disociados en pruebas.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Revisar formularios, bitácoras e integraciones para retirar información innecesaria.</w:t>
      </w:r>
    </w:p>
    <w:p>
      <w:pPr>
        <w:pStyle w:val="Heading1"/>
      </w:pPr>
      <w:r>
        <w:t>3. Seguridad de los datos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Forzar HTTPS/TLS en producción y cifrado del almacenamiento con llaves protegidas.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Nunca almacenar contraseñas en texto claro; usar hash robusto con sal.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Aplicar mínimo privilegio, roles, autenticación, vencimiento de tokens y límites de solicitudes.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Validar entradas, limitar archivos y evitar secretos o datos personales en logs.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Mantener parches, respaldos, revisión de dependencias, bitácoras y pruebas de restauración.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Documentar responsables de acceso y retirar permisos cuando dejen de ser necesarios.</w:t>
      </w:r>
    </w:p>
    <w:p>
      <w:r>
        <w:rPr>
          <w:rFonts w:ascii="Calibri" w:hAnsi="Calibri"/>
          <w:b/>
        </w:rPr>
        <w:t>Aplicación actual:</w:t>
      </w:r>
      <w:r>
        <w:rPr>
          <w:rFonts w:ascii="Calibri" w:hAnsi="Calibri"/>
        </w:rPr>
        <w:t xml:space="preserve"> bcrypt con factor de costo 12, JWT, autorización por roles, Zod, Helmet, rate limiting y secretos mediante variables de entorno. El despliegue productivo debe completar HTTPS/TLS y verificar el cifrado administrado del almacenamiento.</w:t>
      </w:r>
    </w:p>
    <w:p>
      <w:pPr>
        <w:pStyle w:val="Heading1"/>
      </w:pPr>
      <w:r>
        <w:t>4. Derechos de las personas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Permitir consultar y corregir el perfil dentro de la aplicación cuando sea posible.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Recibir solicitudes ARCO y revocaciones en privacidad@seal.example.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Verificar la identidad o representación antes de entregar o modificar datos.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Responder en veinte días hábiles y, si procede, ejecutar dentro de los quince siguientes.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Bloquear y posteriormente suprimir datos cancelados, salvo conservación legal vigente.</w:t>
      </w:r>
    </w:p>
    <w:p>
      <w:pPr>
        <w:pStyle w:val="Heading1"/>
      </w:pPr>
      <w:r>
        <w:t>5. Retención y eliminación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Asignar a cada categoría una finalidad, propietario y plazo.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Bloquear los datos al concluir la finalidad cuando exista responsabilidad pendiente.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Eliminar de forma segura al vencer el plazo o disociar de manera irreversible.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Incluir archivos temporales, copias y respaldos en el proceso de depuración.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Conservar evidencia de eliminación y justificar las excepciones.</w:t>
      </w:r>
    </w:p>
    <w:p>
      <w:pPr>
        <w:pStyle w:val="Heading1"/>
      </w:pPr>
      <w:r>
        <w:t>6. Política de privacidad</w:t>
      </w:r>
    </w:p>
    <w:p>
      <w:r>
        <w:rPr>
          <w:rFonts w:ascii="Calibri" w:hAnsi="Calibri"/>
        </w:rPr>
        <w:t>El aviso integral debe permanecer accesible desde la activación y cualquier punto donde se recaben nuevos datos. Debe describir responsable y domicilio, datos tratados, finalidades, medios de limitación, derechos ARCO, transferencias, retención, seguridad y cambios. El lenguaje debe ser claro y distinguir finalidades necesarias de secundarias.</w:t>
      </w:r>
    </w:p>
    <w:p>
      <w:pPr>
        <w:pStyle w:val="Heading1"/>
      </w:pPr>
      <w:r>
        <w:t>7. Transferencias y encargados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Inventariar proveedor, datos compartidos, ubicación, finalidad, base y periodo de acceso.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Exigir instrucciones documentadas, confidencialidad, seguridad y devolución o supresión.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Informar y obtener consentimiento cuando sea necesario.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Documentar las excepciones legales.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Prohibir venta de datos y usos propios incompatibles por parte del proveedor.</w:t>
      </w:r>
    </w:p>
    <w:p>
      <w:pPr>
        <w:pStyle w:val="Heading1"/>
      </w:pPr>
      <w:r>
        <w:t>8. Respuesta a vulneraciones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Identificar y clasificar el evento.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Contenerlo sin destruir evidencia.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Determinar datos, titulares, sistemas y consecuencias afectadas.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Corregir la causa y recuperar la operación segura.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Notificar de forma inmediata cuando exista afectación significativa a derechos patrimoniales o morales.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Informar naturaleza, datos, recomendaciones, acciones y canal de atención.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Registrar decisiones, tiempos y lecciones aprendidas.</w:t>
      </w:r>
    </w:p>
    <w:p>
      <w:r>
        <w:rPr>
          <w:rFonts w:ascii="Calibri" w:hAnsi="Calibri"/>
        </w:rPr>
        <w:t>La ley vigente utiliza el criterio de notificación inmediata; no fija una ventana genérica de 72 horas para este supuesto.</w:t>
      </w:r>
    </w:p>
    <w:p>
      <w:pPr>
        <w:pStyle w:val="Heading1"/>
      </w:pPr>
      <w:r>
        <w:t>9. Responsabilidad y revisión</w:t>
      </w:r>
    </w:p>
    <w:p>
      <w:r>
        <w:rPr>
          <w:rFonts w:ascii="Calibri" w:hAnsi="Calibri"/>
        </w:rPr>
        <w:t>El equipo designará a una persona o área de privacidad, capacitará a quienes accedan a datos y revisará estos lineamientos al menos una vez al año o ante cambios relevantes. Cada nueva funcionalidad debe identificar datos, finalidad, base, accesos, transferencias, retención y riesgos antes de publicarse.</w:t>
      </w:r>
    </w:p>
    <w:p>
      <w:pPr>
        <w:pStyle w:val="Heading1"/>
      </w:pPr>
      <w:r>
        <w:t>Matriz de cumplimiento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1600"/>
        <w:gridCol w:w="2860"/>
        <w:gridCol w:w="3840"/>
        <w:gridCol w:w="1060"/>
      </w:tblGrid>
      <w:tr>
        <w:trPr>
          <w:tblHeader w:val="true"/>
        </w:trPr>
        <w:tc>
          <w:tcPr>
            <w:tcW w:type="dxa" w:w="1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Tema</w:t>
            </w:r>
          </w:p>
        </w:tc>
        <w:tc>
          <w:tcPr>
            <w:tcW w:type="dxa" w:w="28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Criterio de aceptación</w:t>
            </w:r>
          </w:p>
        </w:tc>
        <w:tc>
          <w:tcPr>
            <w:tcW w:type="dxa" w:w="38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Evidencia en Seal</w:t>
            </w:r>
          </w:p>
        </w:tc>
        <w:tc>
          <w:tcPr>
            <w:tcW w:type="dxa" w:w="10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Estado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Consentimiento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Aceptación expresa, clara y no premarcada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Invitación administrativa, /activar-cuenta, validación del backend y consent_record</w:t>
            </w:r>
          </w:p>
        </w:tc>
        <w:tc>
          <w:tcPr>
            <w:tcW w:type="dxa" w:w="1060"/>
            <w:vAlign w:val="center"/>
            <w:shd w:fill="E8F5E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Cumple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Finalidad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Datos limitados al propósito informado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Alta administrativa mínima y finalidades documentadas</w:t>
            </w:r>
          </w:p>
        </w:tc>
        <w:tc>
          <w:tcPr>
            <w:tcW w:type="dxa" w:w="1060"/>
            <w:vAlign w:val="center"/>
            <w:shd w:fill="E8F5E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Cumple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Seguridad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Controles administrativos, técnicos y físicos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bcrypt, JWT, roles, Zod, Helmet y límites; HTTPS/cifrado se verifican al desplegar</w:t>
            </w:r>
          </w:p>
        </w:tc>
        <w:tc>
          <w:tcPr>
            <w:tcW w:type="dxa" w:w="1060"/>
            <w:vAlign w:val="center"/>
            <w:shd w:fill="FFF8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Parcial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Derechos ARCO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Acceso, rectificación, cancelación y oposición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Edición de perfil y canal documentado; falta automatizar cancelación/oposición</w:t>
            </w:r>
          </w:p>
        </w:tc>
        <w:tc>
          <w:tcPr>
            <w:tcW w:type="dxa" w:w="1060"/>
            <w:vAlign w:val="center"/>
            <w:shd w:fill="FFF8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Parcial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Retención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Plazos y supresión posterior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Criterios documentados; falta automatización integral por categoría</w:t>
            </w:r>
          </w:p>
        </w:tc>
        <w:tc>
          <w:tcPr>
            <w:tcW w:type="dxa" w:w="1060"/>
            <w:vAlign w:val="center"/>
            <w:shd w:fill="FFF8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Parcial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Privacidad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Aviso integral accesible y detallado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/politica-privacidad y documento Word</w:t>
            </w:r>
          </w:p>
        </w:tc>
        <w:tc>
          <w:tcPr>
            <w:tcW w:type="dxa" w:w="1060"/>
            <w:vAlign w:val="center"/>
            <w:shd w:fill="E8F5E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Cumple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Transferencias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Información, consentimiento y control a terceros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Reglas e inventario requeridos; falta registro operativo de proveedores</w:t>
            </w:r>
          </w:p>
        </w:tc>
        <w:tc>
          <w:tcPr>
            <w:tcW w:type="dxa" w:w="1060"/>
            <w:vAlign w:val="center"/>
            <w:shd w:fill="FFF8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Parcial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Vulneraciones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Procedimiento y aviso inmediato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Procedimiento documentado; falta módulo formal de gestión de incidentes</w:t>
            </w:r>
          </w:p>
        </w:tc>
        <w:tc>
          <w:tcPr>
            <w:tcW w:type="dxa" w:w="1060"/>
            <w:vAlign w:val="center"/>
            <w:shd w:fill="FFF8E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Parcial</w:t>
            </w:r>
          </w:p>
        </w:tc>
      </w:tr>
    </w:tbl>
    <w:p>
      <w:pPr>
        <w:spacing w:after="40"/>
      </w:pPr>
    </w:p>
    <w:p>
      <w:pPr>
        <w:pStyle w:val="Heading1"/>
      </w:pPr>
      <w:r>
        <w:t>Fuentes normativas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 xml:space="preserve">Cámara de Diputados, </w:t>
      </w:r>
      <w:r>
        <w:rPr>
          <w:rFonts w:ascii="Calibri" w:hAnsi="Calibri"/>
          <w:i/>
        </w:rPr>
        <w:t>Ley Federal de Protección de Datos Personales en Posesión de los Particulares</w:t>
      </w:r>
      <w:r>
        <w:rPr>
          <w:rFonts w:ascii="Calibri" w:hAnsi="Calibri"/>
        </w:rPr>
        <w:t xml:space="preserve">, texto vigente, última reforma DOF 14-11-2025: </w:t>
      </w:r>
      <w:hyperlink r:id="rId11">
        <w:r>
          <w:rPr>
            <w:color w:val="2E74B5"/>
            <w:u w:val="single"/>
          </w:rPr>
          <w:t>https://www.diputados.gob.mx/LeyesBiblio/pdf/LFPDPPP.pdf</w:t>
        </w:r>
      </w:hyperlink>
    </w:p>
    <w:p>
      <w:pPr>
        <w:numPr>
          <w:ilvl w:val="0"/>
          <w:numId w:val="10"/>
        </w:numPr>
      </w:pPr>
      <w:r>
        <w:rPr>
          <w:rFonts w:ascii="Calibri" w:hAnsi="Calibri"/>
        </w:rPr>
        <w:t xml:space="preserve">Cámara de Diputados, </w:t>
      </w:r>
      <w:r>
        <w:rPr>
          <w:rFonts w:ascii="Calibri" w:hAnsi="Calibri"/>
          <w:i/>
        </w:rPr>
        <w:t>Reglamento de la Ley Federal de Protección de Datos Personales en Posesión de los Particulares</w:t>
      </w:r>
      <w:r>
        <w:rPr>
          <w:rFonts w:ascii="Calibri" w:hAnsi="Calibri"/>
        </w:rPr>
        <w:t xml:space="preserve">: </w:t>
      </w:r>
      <w:hyperlink r:id="rId12">
        <w:r>
          <w:rPr>
            <w:color w:val="2E74B5"/>
            <w:u w:val="single"/>
          </w:rPr>
          <w:t>https://www.diputados.gob.mx/LeyesBiblio/regley/Reg_LFPDPPP.pdf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8"/>
      </w:rPr>
      <w:t xml:space="preserve">Seal Contratos  ·  Versión 1.1-2026-07-10  ·  Página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95959"/>
        <w:sz w:val="17"/>
      </w:rPr>
      <w:t>SEAL  |  LINEAMIENTOS DE PROTECCIÓN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iputados.gob.mx/LeyesBiblio/pdf/LFPDPPP.pdf" TargetMode="External"/><Relationship Id="rId12" Type="http://schemas.openxmlformats.org/officeDocument/2006/relationships/hyperlink" Target="https://www.diputados.gob.mx/LeyesBiblio/regley/Reg_LFPDPP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Lineamientos de protección de datos personales de Seal</dc:title>
  <dc:subject>Guía operativa y matriz de cumplimiento</dc:subject>
  <dc:creator>Equipo Seal</dc:creator>
  <cp:keywords>LFPDPPP, privacidad, datos personales, ARCO, Seal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