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360" w:after="60"/>
      </w:pPr>
      <w:r>
        <w:rPr>
          <w:rFonts w:ascii="Calibri" w:hAnsi="Calibri"/>
          <w:b/>
          <w:color w:val="17365D"/>
          <w:sz w:val="46"/>
        </w:rPr>
        <w:t>RESUMEN DE CAMBIOS</w:t>
      </w:r>
    </w:p>
    <w:p>
      <w:pPr>
        <w:widowControl/>
        <w:spacing w:after="300"/>
      </w:pPr>
      <w:r>
        <w:rPr>
          <w:color w:val="667085"/>
          <w:sz w:val="26"/>
        </w:rPr>
        <w:t>Proyecto SEAL · evolución aproximada de los últimos dos meses</w:t>
      </w:r>
    </w:p>
    <w:p>
      <w:pPr>
        <w:widowControl/>
        <w:spacing w:after="40"/>
      </w:pPr>
      <w:r>
        <w:rPr>
          <w:b/>
          <w:color w:val="17365D"/>
        </w:rPr>
        <w:t xml:space="preserve">Periodo analizado: </w:t>
      </w:r>
      <w:r>
        <w:t>8 de junio al 11 de agosto de 2026</w:t>
      </w:r>
    </w:p>
    <w:p>
      <w:pPr>
        <w:widowControl/>
        <w:spacing w:after="40"/>
      </w:pPr>
      <w:r>
        <w:rPr>
          <w:b/>
          <w:color w:val="17365D"/>
        </w:rPr>
        <w:t xml:space="preserve">Comparación Git: </w:t>
      </w:r>
      <w:r>
        <w:t>5514db5 (commit inicial) → 4be2d8d (main)</w:t>
      </w:r>
    </w:p>
    <w:p>
      <w:pPr>
        <w:widowControl/>
        <w:spacing w:after="40"/>
      </w:pPr>
      <w:r>
        <w:rPr>
          <w:b/>
          <w:color w:val="17365D"/>
        </w:rPr>
        <w:t xml:space="preserve">Versión actual: </w:t>
      </w:r>
      <w:r>
        <w:t>v1.0.0-release</w:t>
      </w:r>
    </w:p>
    <w:p>
      <w:pPr>
        <w:widowControl/>
        <w:spacing w:after="40"/>
      </w:pPr>
      <w:r>
        <w:rPr>
          <w:b/>
          <w:color w:val="17365D"/>
        </w:rPr>
        <w:t xml:space="preserve">Propósito: </w:t>
      </w:r>
      <w:r>
        <w:t>Dar contexto técnico y funcional a una persona que retoma el proyecto</w:t>
      </w:r>
    </w:p>
    <w:p>
      <w:pPr>
        <w:spacing w:before="200" w:after="240"/>
        <w:widowControl/>
        <w:pBdr>
          <w:bottom w:val="single" w:sz="18" w:space="1" w:color="2E74B5"/>
        </w:pBdr>
      </w:pP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150" w:type="dxa"/>
              <w:start w:w="180" w:type="dxa"/>
              <w:bottom w:w="150" w:type="dxa"/>
              <w:end w:w="180" w:type="dxa"/>
            </w:tcMar>
            <w:vAlign w:val="center"/>
            <w:shd w:fill="EAF2F8"/>
          </w:tcPr>
          <w:p>
            <w:pPr>
              <w:spacing w:after="60"/>
            </w:pPr>
            <w:r>
              <w:rPr>
                <w:b/>
                <w:color w:val="17365D"/>
                <w:sz w:val="18"/>
              </w:rPr>
              <w:t>RESULTADO PRINCIPAL</w:t>
            </w:r>
          </w:p>
          <w:p>
            <w:pPr>
              <w:spacing w:before="0" w:after="0" w:line="264" w:lineRule="auto"/>
            </w:pPr>
            <w:r>
              <w:rPr>
                <w:color w:val="1F2937"/>
                <w:sz w:val="21"/>
              </w:rPr>
              <w:t>SEAL pasó de una base funcional a una versión preparada para producción: autenticación más segura, activación formal de clientes, privacidad y consentimiento, mejoras en contratos y plantillas, infraestructura Docker con HTTPS, automatización de release/rollback y una batería de QA validada en Azure.</w:t>
            </w:r>
          </w:p>
        </w:tc>
      </w:tr>
    </w:tbl>
    <w:p>
      <w:pPr>
        <w:widowControl/>
        <w:spacing w:after="40"/>
      </w:pPr>
    </w:p>
    <w:p>
      <w:pPr>
        <w:pStyle w:val="Heading1"/>
        <w:keepNext/>
        <w:widowControl/>
      </w:pPr>
      <w:r>
        <w:t>Resumen ejecutivo</w:t>
      </w:r>
    </w:p>
    <w:p>
      <w:pPr>
        <w:widowControl/>
        <w:numPr>
          <w:ilvl w:val="0"/>
          <w:numId w:val="101"/>
        </w:numPr>
      </w:pPr>
      <w:r>
        <w:t>Se consolidó la versión 1.0.0 para producción y se etiquetó como v1.0.0-release.</w:t>
      </w:r>
    </w:p>
    <w:p>
      <w:pPr>
        <w:widowControl/>
        <w:numPr>
          <w:ilvl w:val="0"/>
          <w:numId w:val="101"/>
        </w:numPr>
      </w:pPr>
      <w:r>
        <w:t>La sesión dejó de exponer el JWT a JavaScript: ahora usa una cookie HttpOnly, con cierre de sesión y validación contra el usuario vigente en Firestore.</w:t>
      </w:r>
    </w:p>
    <w:p>
      <w:pPr>
        <w:widowControl/>
        <w:numPr>
          <w:ilvl w:val="0"/>
          <w:numId w:val="101"/>
        </w:numPr>
      </w:pPr>
      <w:r>
        <w:t>El alta de clientes se convirtió en un flujo de invitación y activación, con tokens de propósito específico y aceptación versionada de documentos de privacidad.</w:t>
      </w:r>
    </w:p>
    <w:p>
      <w:pPr>
        <w:widowControl/>
        <w:numPr>
          <w:ilvl w:val="0"/>
          <w:numId w:val="101"/>
        </w:numPr>
      </w:pPr>
      <w:r>
        <w:t>La administración de plantillas ganó recuperación de borradores, publicación de borradores, comparación de versiones, clonación y catálogo dinámico de campos.</w:t>
      </w:r>
    </w:p>
    <w:p>
      <w:pPr>
        <w:widowControl/>
        <w:numPr>
          <w:ilvl w:val="0"/>
          <w:numId w:val="101"/>
        </w:numPr>
      </w:pPr>
      <w:r>
        <w:t>El ciclo contractual incorporó rechazo administrativo con motivo registrado y descargas locales protegidas mediante enlaces firmados de corta duración.</w:t>
      </w:r>
    </w:p>
    <w:p>
      <w:pPr>
        <w:widowControl/>
        <w:numPr>
          <w:ilvl w:val="0"/>
          <w:numId w:val="101"/>
        </w:numPr>
      </w:pPr>
      <w:r>
        <w:t>El proyecto quedó contenerizado con frontend, backend, Nginx, Certbot, almacenamiento persistente y respaldo; además se añadieron scripts de despliegue, verificación y rollback.</w:t>
      </w:r>
    </w:p>
    <w:p>
      <w:pPr>
        <w:widowControl/>
        <w:numPr>
          <w:ilvl w:val="0"/>
          <w:numId w:val="101"/>
        </w:numPr>
      </w:pPr>
      <w:r>
        <w:t>La calidad se formalizó con Jest, Playwright, k6, Lighthouse y GitHub Actions. En producción se aprobaron 17 pruebas Jest, 4 escenarios Playwright y la carga de 50 usuarios virtuales.</w:t>
      </w:r>
    </w:p>
    <w:p>
      <w:pPr>
        <w:pStyle w:val="Heading1"/>
        <w:keepNext/>
        <w:widowControl/>
      </w:pPr>
      <w:r>
        <w:t>Magnitud del cambio</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cantSplit/>
        </w:trPr>
        <w:tc>
          <w:tcPr>
            <w:tcW w:type="dxa" w:w="310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Indicador</w:t>
            </w:r>
          </w:p>
        </w:tc>
        <w:tc>
          <w:tcPr>
            <w:tcW w:type="dxa" w:w="626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Resultado</w:t>
            </w:r>
          </w:p>
        </w:tc>
      </w:tr>
      <w:tr>
        <w:trPr>
          <w:cantSplit/>
        </w:trPr>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Archivos modificados o agregados</w:t>
            </w:r>
          </w:p>
        </w:tc>
        <w:tc>
          <w:tcPr>
            <w:tcW w:type="dxa" w:w="62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119</w:t>
            </w:r>
          </w:p>
        </w:tc>
      </w:tr>
      <w:tr>
        <w:trPr>
          <w:cantSplit/>
        </w:trPr>
        <w:tc>
          <w:tcPr>
            <w:tcW w:type="dxa" w:w="31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Líneas agregadas</w:t>
            </w:r>
          </w:p>
        </w:tc>
        <w:tc>
          <w:tcPr>
            <w:tcW w:type="dxa" w:w="62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20,760</w:t>
            </w:r>
          </w:p>
        </w:tc>
      </w:tr>
      <w:tr>
        <w:trPr>
          <w:cantSplit/>
        </w:trPr>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Líneas eliminadas</w:t>
            </w:r>
          </w:p>
        </w:tc>
        <w:tc>
          <w:tcPr>
            <w:tcW w:type="dxa" w:w="62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1,104</w:t>
            </w:r>
          </w:p>
        </w:tc>
      </w:tr>
      <w:tr>
        <w:trPr>
          <w:cantSplit/>
        </w:trPr>
        <w:tc>
          <w:tcPr>
            <w:tcW w:type="dxa" w:w="31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Commits de la ventana</w:t>
            </w:r>
          </w:p>
        </w:tc>
        <w:tc>
          <w:tcPr>
            <w:tcW w:type="dxa" w:w="62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3 cambios sobre el commit inicial</w:t>
            </w:r>
          </w:p>
        </w:tc>
      </w:tr>
      <w:tr>
        <w:trPr>
          <w:cantSplit/>
        </w:trPr>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Áreas principales</w:t>
            </w:r>
          </w:p>
        </w:tc>
        <w:tc>
          <w:tcPr>
            <w:tcW w:type="dxa" w:w="62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Backend, frontend, seguridad, privacidad, despliegue, QA y documentación</w:t>
            </w:r>
          </w:p>
        </w:tc>
      </w:tr>
    </w:tbl>
    <w:p>
      <w:pPr>
        <w:widowControl/>
        <w:spacing w:after="40"/>
      </w:pP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150" w:type="dxa"/>
              <w:start w:w="180" w:type="dxa"/>
              <w:bottom w:w="150" w:type="dxa"/>
              <w:end w:w="180" w:type="dxa"/>
            </w:tcMar>
            <w:vAlign w:val="center"/>
            <w:shd w:fill="FFF8E8"/>
          </w:tcPr>
          <w:p>
            <w:pPr>
              <w:spacing w:after="60"/>
            </w:pPr>
            <w:r>
              <w:rPr>
                <w:b/>
                <w:color w:val="9A6700"/>
                <w:sz w:val="18"/>
              </w:rPr>
              <w:t>CÓMO INTERPRETAR ESTAS CIFRAS</w:t>
            </w:r>
          </w:p>
          <w:p>
            <w:pPr>
              <w:spacing w:before="0" w:after="0" w:line="264" w:lineRule="auto"/>
            </w:pPr>
            <w:r>
              <w:rPr>
                <w:color w:val="1F2937"/>
                <w:sz w:val="21"/>
              </w:rPr>
              <w:t>El conteo de líneas incluye archivos de bloqueo de dependencias, especialmente qa/package-lock.json. Los DOCX y PDF son binarios y no aportan líneas al total, aunque sí forman parte de los 119 archivos.</w:t>
            </w:r>
          </w:p>
        </w:tc>
      </w:tr>
    </w:tbl>
    <w:p>
      <w:pPr>
        <w:widowControl/>
        <w:spacing w:after="40"/>
      </w:pPr>
    </w:p>
    <w:p>
      <w:pPr>
        <w:pStyle w:val="Heading1"/>
        <w:keepNext/>
        <w:widowControl/>
      </w:pPr>
      <w:r>
        <w:t>1. Alcance y evidencia</w:t>
      </w:r>
    </w:p>
    <w:p>
      <w:pPr>
        <w:widowControl/>
      </w:pPr>
      <w:r>
        <w:t>El repositorio sólo contiene cuatro commits. El commit inicial es del 8 de junio de 2026 y los tres cambios posteriores son del 11 de agosto de 2026. Por ello, para cubrir “aproximadamente dos meses” se comparó el estado inicial contra el HEAD actual de main, aunque el inicio queda tres días fuera de una ventana estricta de 60 días. No se encontraron cambios sin confirmar al momento del análisis.</w:t>
      </w:r>
    </w:p>
    <w:tbl>
      <w:tblPr>
        <w:tblStyle w:val="TableGrid"/>
        <w:tblW w:type="dxa" w:w="9360"/>
        <w:jc w:val="left"/>
        <w:tblLayout w:type="fixed"/>
        <w:tblLook w:firstColumn="1" w:firstRow="1" w:lastColumn="0" w:lastRow="0" w:noHBand="0" w:noVBand="1" w:val="04A0"/>
        <w:tblInd w:w="120" w:type="dxa"/>
      </w:tblPr>
      <w:tblGrid>
        <w:gridCol w:w="1550"/>
        <w:gridCol w:w="1250"/>
        <w:gridCol w:w="3600"/>
        <w:gridCol w:w="2960"/>
      </w:tblGrid>
      <w:tr>
        <w:trPr>
          <w:tblHeader w:val="true"/>
          <w:cantSplit/>
        </w:trPr>
        <w:tc>
          <w:tcPr>
            <w:tcW w:type="dxa" w:w="1550"/>
            <w:shd w:fill="E8EEF5"/>
            <w:tcMar>
              <w:top w:w="80" w:type="dxa"/>
              <w:start w:w="120" w:type="dxa"/>
              <w:bottom w:w="80" w:type="dxa"/>
              <w:end w:w="120" w:type="dxa"/>
            </w:tcMar>
            <w:vAlign w:val="center"/>
          </w:tcPr>
          <w:p>
            <w:pPr>
              <w:spacing w:before="0" w:after="0" w:line="259" w:lineRule="auto"/>
              <w:jc w:val="center"/>
            </w:pPr>
            <w:r/>
            <w:r>
              <w:rPr>
                <w:rFonts w:ascii="Calibri" w:hAnsi="Calibri"/>
                <w:b/>
                <w:color w:val="17365D"/>
                <w:sz w:val="18"/>
              </w:rPr>
              <w:t>Fecha</w:t>
            </w:r>
          </w:p>
        </w:tc>
        <w:tc>
          <w:tcPr>
            <w:tcW w:type="dxa" w:w="1250"/>
            <w:shd w:fill="E8EEF5"/>
            <w:tcMar>
              <w:top w:w="80" w:type="dxa"/>
              <w:start w:w="120" w:type="dxa"/>
              <w:bottom w:w="80" w:type="dxa"/>
              <w:end w:w="120" w:type="dxa"/>
            </w:tcMar>
            <w:vAlign w:val="center"/>
          </w:tcPr>
          <w:p>
            <w:pPr>
              <w:spacing w:before="0" w:after="0" w:line="259" w:lineRule="auto"/>
              <w:jc w:val="center"/>
            </w:pPr>
            <w:r/>
            <w:r>
              <w:rPr>
                <w:rFonts w:ascii="Calibri" w:hAnsi="Calibri"/>
                <w:b/>
                <w:color w:val="17365D"/>
                <w:sz w:val="18"/>
              </w:rPr>
              <w:t>Commit</w:t>
            </w:r>
          </w:p>
        </w:tc>
        <w:tc>
          <w:tcPr>
            <w:tcW w:type="dxa" w:w="360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Descripción</w:t>
            </w:r>
          </w:p>
        </w:tc>
        <w:tc>
          <w:tcPr>
            <w:tcW w:type="dxa" w:w="296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Impacto</w:t>
            </w:r>
          </w:p>
        </w:tc>
      </w:tr>
      <w:tr>
        <w:trPr>
          <w:cantSplit/>
        </w:trPr>
        <w:tc>
          <w:tcPr>
            <w:tcW w:type="dxa" w:w="1550"/>
            <w:tcMar>
              <w:top w:w="80" w:type="dxa"/>
              <w:start w:w="120" w:type="dxa"/>
              <w:bottom w:w="80" w:type="dxa"/>
              <w:end w:w="120" w:type="dxa"/>
            </w:tcMar>
            <w:vAlign w:val="center"/>
          </w:tcPr>
          <w:p>
            <w:pPr>
              <w:spacing w:before="0" w:after="0" w:line="259" w:lineRule="auto"/>
              <w:jc w:val="center"/>
            </w:pPr>
            <w:r/>
            <w:r>
              <w:rPr>
                <w:rFonts w:ascii="Calibri" w:hAnsi="Calibri"/>
                <w:b w:val="0"/>
                <w:color w:val="1F2937"/>
                <w:sz w:val="18"/>
              </w:rPr>
              <w:t>08-jun-2026</w:t>
            </w:r>
          </w:p>
        </w:tc>
        <w:tc>
          <w:tcPr>
            <w:tcW w:type="dxa" w:w="1250"/>
            <w:tcMar>
              <w:top w:w="80" w:type="dxa"/>
              <w:start w:w="120" w:type="dxa"/>
              <w:bottom w:w="80" w:type="dxa"/>
              <w:end w:w="120" w:type="dxa"/>
            </w:tcMar>
            <w:vAlign w:val="center"/>
          </w:tcPr>
          <w:p>
            <w:pPr>
              <w:spacing w:before="0" w:after="0" w:line="259" w:lineRule="auto"/>
              <w:jc w:val="center"/>
            </w:pPr>
            <w:r/>
            <w:r>
              <w:rPr>
                <w:rFonts w:ascii="Calibri" w:hAnsi="Calibri"/>
                <w:b w:val="0"/>
                <w:color w:val="1F2937"/>
                <w:sz w:val="18"/>
              </w:rPr>
              <w:t>5514db5</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Initial commit</w:t>
            </w:r>
          </w:p>
        </w:tc>
        <w:tc>
          <w:tcPr>
            <w:tcW w:type="dxa" w:w="29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Base de comparación</w:t>
            </w:r>
          </w:p>
        </w:tc>
      </w:tr>
      <w:tr>
        <w:trPr>
          <w:cantSplit/>
        </w:trPr>
        <w:tc>
          <w:tcPr>
            <w:tcW w:type="dxa" w:w="1550"/>
            <w:shd w:fill="FAFBFC"/>
            <w:tcMar>
              <w:top w:w="80" w:type="dxa"/>
              <w:start w:w="120" w:type="dxa"/>
              <w:bottom w:w="80" w:type="dxa"/>
              <w:end w:w="120" w:type="dxa"/>
            </w:tcMar>
            <w:vAlign w:val="center"/>
          </w:tcPr>
          <w:p>
            <w:pPr>
              <w:spacing w:before="0" w:after="0" w:line="259" w:lineRule="auto"/>
              <w:jc w:val="center"/>
            </w:pPr>
            <w:r/>
            <w:r>
              <w:rPr>
                <w:rFonts w:ascii="Calibri" w:hAnsi="Calibri"/>
                <w:b w:val="0"/>
                <w:color w:val="1F2937"/>
                <w:sz w:val="18"/>
              </w:rPr>
              <w:t>11-ago-2026</w:t>
            </w:r>
          </w:p>
        </w:tc>
        <w:tc>
          <w:tcPr>
            <w:tcW w:type="dxa" w:w="1250"/>
            <w:shd w:fill="FAFBFC"/>
            <w:tcMar>
              <w:top w:w="80" w:type="dxa"/>
              <w:start w:w="120" w:type="dxa"/>
              <w:bottom w:w="80" w:type="dxa"/>
              <w:end w:w="120" w:type="dxa"/>
            </w:tcMar>
            <w:vAlign w:val="center"/>
          </w:tcPr>
          <w:p>
            <w:pPr>
              <w:spacing w:before="0" w:after="0" w:line="259" w:lineRule="auto"/>
              <w:jc w:val="center"/>
            </w:pPr>
            <w:r/>
            <w:r>
              <w:rPr>
                <w:rFonts w:ascii="Calibri" w:hAnsi="Calibri"/>
                <w:b w:val="0"/>
                <w:color w:val="1F2937"/>
                <w:sz w:val="18"/>
              </w:rPr>
              <w:t>5ff0bd1</w:t>
            </w:r>
          </w:p>
        </w:tc>
        <w:tc>
          <w:tcPr>
            <w:tcW w:type="dxa" w:w="36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Preparar SEAL v1.0.0 para producción</w:t>
            </w:r>
          </w:p>
        </w:tc>
        <w:tc>
          <w:tcPr>
            <w:tcW w:type="dxa" w:w="29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Cambio principal: 119 archivos y release</w:t>
            </w:r>
          </w:p>
        </w:tc>
      </w:tr>
      <w:tr>
        <w:trPr>
          <w:cantSplit/>
        </w:trPr>
        <w:tc>
          <w:tcPr>
            <w:tcW w:type="dxa" w:w="1550"/>
            <w:tcMar>
              <w:top w:w="80" w:type="dxa"/>
              <w:start w:w="120" w:type="dxa"/>
              <w:bottom w:w="80" w:type="dxa"/>
              <w:end w:w="120" w:type="dxa"/>
            </w:tcMar>
            <w:vAlign w:val="center"/>
          </w:tcPr>
          <w:p>
            <w:pPr>
              <w:spacing w:before="0" w:after="0" w:line="259" w:lineRule="auto"/>
              <w:jc w:val="center"/>
            </w:pPr>
            <w:r/>
            <w:r>
              <w:rPr>
                <w:rFonts w:ascii="Calibri" w:hAnsi="Calibri"/>
                <w:b w:val="0"/>
                <w:color w:val="1F2937"/>
                <w:sz w:val="18"/>
              </w:rPr>
              <w:t>11-ago-2026</w:t>
            </w:r>
          </w:p>
        </w:tc>
        <w:tc>
          <w:tcPr>
            <w:tcW w:type="dxa" w:w="1250"/>
            <w:tcMar>
              <w:top w:w="80" w:type="dxa"/>
              <w:start w:w="120" w:type="dxa"/>
              <w:bottom w:w="80" w:type="dxa"/>
              <w:end w:w="120" w:type="dxa"/>
            </w:tcMar>
            <w:vAlign w:val="center"/>
          </w:tcPr>
          <w:p>
            <w:pPr>
              <w:spacing w:before="0" w:after="0" w:line="259" w:lineRule="auto"/>
              <w:jc w:val="center"/>
            </w:pPr>
            <w:r/>
            <w:r>
              <w:rPr>
                <w:rFonts w:ascii="Calibri" w:hAnsi="Calibri"/>
                <w:b w:val="0"/>
                <w:color w:val="1F2937"/>
                <w:sz w:val="18"/>
              </w:rPr>
              <w:t>a6ba73d</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Sincronizar dependencias QA en Linux</w:t>
            </w:r>
          </w:p>
        </w:tc>
        <w:tc>
          <w:tcPr>
            <w:tcW w:type="dxa" w:w="29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Ajuste de reproducibilidad en CI</w:t>
            </w:r>
          </w:p>
        </w:tc>
      </w:tr>
      <w:tr>
        <w:trPr>
          <w:cantSplit/>
        </w:trPr>
        <w:tc>
          <w:tcPr>
            <w:tcW w:type="dxa" w:w="1550"/>
            <w:shd w:fill="FAFBFC"/>
            <w:tcMar>
              <w:top w:w="80" w:type="dxa"/>
              <w:start w:w="120" w:type="dxa"/>
              <w:bottom w:w="80" w:type="dxa"/>
              <w:end w:w="120" w:type="dxa"/>
            </w:tcMar>
            <w:vAlign w:val="center"/>
          </w:tcPr>
          <w:p>
            <w:pPr>
              <w:spacing w:before="0" w:after="0" w:line="259" w:lineRule="auto"/>
              <w:jc w:val="center"/>
            </w:pPr>
            <w:r/>
            <w:r>
              <w:rPr>
                <w:rFonts w:ascii="Calibri" w:hAnsi="Calibri"/>
                <w:b w:val="0"/>
                <w:color w:val="1F2937"/>
                <w:sz w:val="18"/>
              </w:rPr>
              <w:t>11-ago-2026</w:t>
            </w:r>
          </w:p>
        </w:tc>
        <w:tc>
          <w:tcPr>
            <w:tcW w:type="dxa" w:w="1250"/>
            <w:shd w:fill="FAFBFC"/>
            <w:tcMar>
              <w:top w:w="80" w:type="dxa"/>
              <w:start w:w="120" w:type="dxa"/>
              <w:bottom w:w="80" w:type="dxa"/>
              <w:end w:w="120" w:type="dxa"/>
            </w:tcMar>
            <w:vAlign w:val="center"/>
          </w:tcPr>
          <w:p>
            <w:pPr>
              <w:spacing w:before="0" w:after="0" w:line="259" w:lineRule="auto"/>
              <w:jc w:val="center"/>
            </w:pPr>
            <w:r/>
            <w:r>
              <w:rPr>
                <w:rFonts w:ascii="Calibri" w:hAnsi="Calibri"/>
                <w:b w:val="0"/>
                <w:color w:val="1F2937"/>
                <w:sz w:val="18"/>
              </w:rPr>
              <w:t>4be2d8d</w:t>
            </w:r>
          </w:p>
        </w:tc>
        <w:tc>
          <w:tcPr>
            <w:tcW w:type="dxa" w:w="36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Estabilizar Playwright en Linux</w:t>
            </w:r>
          </w:p>
        </w:tc>
        <w:tc>
          <w:tcPr>
            <w:tcW w:type="dxa" w:w="29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Compilación/arranque de Next.js antes de E2E</w:t>
            </w:r>
          </w:p>
        </w:tc>
      </w:tr>
    </w:tbl>
    <w:p>
      <w:pPr>
        <w:widowControl/>
        <w:spacing w:after="40"/>
      </w:pPr>
    </w:p>
    <w:p>
      <w:pPr>
        <w:pStyle w:val="Heading1"/>
        <w:keepNext/>
        <w:widowControl/>
      </w:pPr>
      <w:r>
        <w:t>2. Autenticación, sesiones y seguridad</w:t>
      </w:r>
    </w:p>
    <w:p>
      <w:pPr>
        <w:pStyle w:val="Heading2"/>
        <w:keepNext/>
        <w:widowControl/>
      </w:pPr>
      <w:r>
        <w:t>Sesiones protegidas</w:t>
      </w:r>
    </w:p>
    <w:p>
      <w:pPr>
        <w:widowControl/>
        <w:numPr>
          <w:ilvl w:val="0"/>
          <w:numId w:val="101"/>
        </w:numPr>
      </w:pPr>
      <w:r>
        <w:t>Cookie HttpOnly: el JWT se entrega en seal_session y ya no se guarda en localStorage ni se expone a JavaScript.</w:t>
      </w:r>
    </w:p>
    <w:p>
      <w:pPr>
        <w:widowControl/>
        <w:numPr>
          <w:ilvl w:val="0"/>
          <w:numId w:val="101"/>
        </w:numPr>
      </w:pPr>
      <w:r>
        <w:t>Atributos de cookie: Secure configurable para producción, SameSite=Lax, Path=/ y prioridad alta.</w:t>
      </w:r>
    </w:p>
    <w:p>
      <w:pPr>
        <w:widowControl/>
        <w:numPr>
          <w:ilvl w:val="0"/>
          <w:numId w:val="101"/>
        </w:numPr>
      </w:pPr>
      <w:r>
        <w:t>Nuevos endpoints de sesión: GET /auth/session y POST /auth/logout; el frontend revalida la sesión al entrar a paneles de administrador y cliente.</w:t>
      </w:r>
    </w:p>
    <w:p>
      <w:pPr>
        <w:widowControl/>
        <w:numPr>
          <w:ilvl w:val="0"/>
          <w:numId w:val="101"/>
        </w:numPr>
      </w:pPr>
      <w:r>
        <w:t>El middleware consulta Firestore en cada sesión protegida para confirmar que el usuario exista, esté ACTIVE y conserve el rol vigente.</w:t>
      </w:r>
    </w:p>
    <w:p>
      <w:pPr>
        <w:widowControl/>
        <w:numPr>
          <w:ilvl w:val="0"/>
          <w:numId w:val="101"/>
        </w:numPr>
      </w:pPr>
      <w:r>
        <w:t>Si must_change_password sigue activo, el acceso queda restringido y el servidor responde con PASSWORD_CHANGE_REQUIRED, salvo para consultar sesión o cambiar contraseña.</w:t>
      </w:r>
    </w:p>
    <w:p>
      <w:pPr>
        <w:pStyle w:val="Heading2"/>
        <w:keepNext/>
        <w:widowControl/>
      </w:pPr>
      <w:r>
        <w:t>Defensas de API y archivos</w:t>
      </w:r>
    </w:p>
    <w:p>
      <w:pPr>
        <w:widowControl/>
        <w:numPr>
          <w:ilvl w:val="0"/>
          <w:numId w:val="101"/>
        </w:numPr>
      </w:pPr>
      <w:r>
        <w:t>Helmet para cabeceras seguras, CORS con lista explícita de orígenes, límite JSON de 1 MB y rate limiting general configurable.</w:t>
      </w:r>
    </w:p>
    <w:p>
      <w:pPr>
        <w:widowControl/>
        <w:numPr>
          <w:ilvl w:val="0"/>
          <w:numId w:val="101"/>
        </w:numPr>
      </w:pPr>
      <w:r>
        <w:t>Límite independiente para login, con cabeceras estándar y sin cabeceras heredadas.</w:t>
      </w:r>
    </w:p>
    <w:p>
      <w:pPr>
        <w:widowControl/>
        <w:numPr>
          <w:ilvl w:val="0"/>
          <w:numId w:val="101"/>
        </w:numPr>
      </w:pPr>
      <w:r>
        <w:t>Configuración trust proxy para que Express identifique correctamente la IP real detrás de Nginx.</w:t>
      </w:r>
    </w:p>
    <w:p>
      <w:pPr>
        <w:widowControl/>
        <w:numPr>
          <w:ilvl w:val="0"/>
          <w:numId w:val="101"/>
        </w:numPr>
      </w:pPr>
      <w:r>
        <w:t>Descargas desde almacenamiento local mediante URL firmada con JWT, propósito storage-read, ruta exacta y expiración; se valida la ruta para impedir traversal.</w:t>
      </w:r>
    </w:p>
    <w:p>
      <w:pPr>
        <w:widowControl/>
        <w:numPr>
          <w:ilvl w:val="0"/>
          <w:numId w:val="101"/>
        </w:numPr>
      </w:pPr>
      <w:r>
        <w:t>Los tokens de activación/recuperación se colocan en el fragmento #token= del enlace y el frontend los retira de la barra e historial después de capturarlos.</w:t>
      </w:r>
    </w:p>
    <w:p>
      <w:pPr>
        <w:widowControl/>
        <w:numPr>
          <w:ilvl w:val="0"/>
          <w:numId w:val="101"/>
        </w:numPr>
      </w:pPr>
      <w:r>
        <w:t>Se agregaron .env.example, reglas de .gitignore, .dockerignore y separación de secretos de Firebase para evitar subir credenciales.</w:t>
      </w:r>
    </w:p>
    <w:p>
      <w:pPr>
        <w:pStyle w:val="Heading1"/>
        <w:keepNext/>
        <w:widowControl/>
      </w:pPr>
      <w:r>
        <w:t>3. Ciclo de vida de usuarios y privacidad</w:t>
      </w:r>
    </w:p>
    <w:p>
      <w:pPr>
        <w:pStyle w:val="Heading2"/>
        <w:keepNext/>
        <w:widowControl/>
      </w:pPr>
      <w:r>
        <w:t>Invitación y activación</w:t>
      </w:r>
    </w:p>
    <w:p>
      <w:pPr>
        <w:widowControl/>
        <w:numPr>
          <w:ilvl w:val="0"/>
          <w:numId w:val="101"/>
        </w:numPr>
      </w:pPr>
      <w:r>
        <w:t>Los usuarios nuevos se crean como PENDING_ACTIVATION, con contraseña aleatoria no entregada y un enlace de activación enviado por correo.</w:t>
      </w:r>
    </w:p>
    <w:p>
      <w:pPr>
        <w:widowControl/>
        <w:numPr>
          <w:ilvl w:val="0"/>
          <w:numId w:val="101"/>
        </w:numPr>
      </w:pPr>
      <w:r>
        <w:t>Se separaron dos propósitos de token: ACCOUNT_ACTIVATION y PASSWORD_RESET. Emitir un token nuevo expira los anteriores del mismo propósito.</w:t>
      </w:r>
    </w:p>
    <w:p>
      <w:pPr>
        <w:widowControl/>
        <w:numPr>
          <w:ilvl w:val="0"/>
          <w:numId w:val="101"/>
        </w:numPr>
      </w:pPr>
      <w:r>
        <w:t>La confirmación se ejecuta en una transacción de Firestore: valida estado, vigencia, propósito y usuario; después actualiza contraseña/usuario y marca el token como USED de forma atómica.</w:t>
      </w:r>
    </w:p>
    <w:p>
      <w:pPr>
        <w:widowControl/>
        <w:numPr>
          <w:ilvl w:val="0"/>
          <w:numId w:val="101"/>
        </w:numPr>
      </w:pPr>
      <w:r>
        <w:t>El administrador puede reenviar una invitación pendiente. Si SMTP no está configurado, el sistema conserva la cuenta pendiente e informa que debe configurarse el correo.</w:t>
      </w:r>
    </w:p>
    <w:p>
      <w:pPr>
        <w:widowControl/>
        <w:numPr>
          <w:ilvl w:val="0"/>
          <w:numId w:val="101"/>
        </w:numPr>
      </w:pPr>
      <w:r>
        <w:t>La solicitud de recuperación devuelve una respuesta uniforme para no revelar si una dirección existe, está pendiente o fue deshabilitada.</w:t>
      </w:r>
    </w:p>
    <w:p>
      <w:pPr>
        <w:pStyle w:val="Heading2"/>
        <w:keepNext/>
        <w:widowControl/>
      </w:pPr>
      <w:r>
        <w:t>Consentimiento y documentos legales</w:t>
      </w:r>
    </w:p>
    <w:p>
      <w:pPr>
        <w:widowControl/>
        <w:numPr>
          <w:ilvl w:val="0"/>
          <w:numId w:val="101"/>
        </w:numPr>
      </w:pPr>
      <w:r>
        <w:t>Durante la activación —o una recuperación que requiera renovar consentimiento— se exige aceptar por separado la Política de Privacidad y el documento de Protección de Datos.</w:t>
      </w:r>
    </w:p>
    <w:p>
      <w:pPr>
        <w:widowControl/>
        <w:numPr>
          <w:ilvl w:val="0"/>
          <w:numId w:val="101"/>
        </w:numPr>
      </w:pPr>
      <w:r>
        <w:t>El backend valida las versiones vigentes (1.1-2026-07-10) y guarda fuente, fecha, aceptación y versión de cada documento.</w:t>
      </w:r>
    </w:p>
    <w:p>
      <w:pPr>
        <w:widowControl/>
        <w:numPr>
          <w:ilvl w:val="0"/>
          <w:numId w:val="101"/>
        </w:numPr>
      </w:pPr>
      <w:r>
        <w:t>Se añadieron las rutas públicas /politica-privacidad y /proteccion-datos, con contenido centralizado para la interfaz.</w:t>
      </w:r>
    </w:p>
    <w:p>
      <w:pPr>
        <w:widowControl/>
        <w:numPr>
          <w:ilvl w:val="0"/>
          <w:numId w:val="101"/>
        </w:numPr>
      </w:pPr>
      <w:r>
        <w:t>Se redactaron documentos Word/Markdown sobre privacidad, protección de datos y codificación segura, con referencia a LFPDPPP y principios aplicables de GDPR.</w:t>
      </w:r>
    </w:p>
    <w:p>
      <w:pPr>
        <w:pStyle w:val="Heading2"/>
        <w:keepNext/>
        <w:widowControl/>
      </w:pPr>
      <w:r>
        <w:t>Administración de clientes</w:t>
      </w:r>
    </w:p>
    <w:p>
      <w:pPr>
        <w:widowControl/>
        <w:numPr>
          <w:ilvl w:val="0"/>
          <w:numId w:val="101"/>
        </w:numPr>
      </w:pPr>
      <w:r>
        <w:t>La pantalla cambió de “registrar” a “invitar cliente” y muestra estados Pendiente, Activo y Desactivado conforme al estado real de la cuenta.</w:t>
      </w:r>
    </w:p>
    <w:p>
      <w:pPr>
        <w:widowControl/>
        <w:numPr>
          <w:ilvl w:val="0"/>
          <w:numId w:val="101"/>
        </w:numPr>
      </w:pPr>
      <w:r>
        <w:t>Se añadió eliminación permanente sólo para cuentas CLIENT: deshabilita primero, elimina tokens de contraseña y firma, borra la cuenta y libera el correo para volver a utilizarlo.</w:t>
      </w:r>
    </w:p>
    <w:p>
      <w:pPr>
        <w:widowControl/>
        <w:numPr>
          <w:ilvl w:val="0"/>
          <w:numId w:val="101"/>
        </w:numPr>
      </w:pPr>
      <w:r>
        <w:t>La evidencia contractual histórica se conserva; la interfaz advierte explícitamente este comportamiento antes de eliminar.</w:t>
      </w:r>
    </w:p>
    <w:p>
      <w:pPr>
        <w:widowControl/>
        <w:numPr>
          <w:ilvl w:val="0"/>
          <w:numId w:val="101"/>
        </w:numPr>
      </w:pPr>
      <w:r>
        <w:t>Se incorporó address_line2 al catálogo y a los flujos de perfil/contrato para admitir dirección complementaria.</w:t>
      </w:r>
    </w:p>
    <w:p>
      <w:pPr>
        <w:pStyle w:val="Heading1"/>
        <w:keepNext/>
        <w:widowControl/>
      </w:pPr>
      <w:r>
        <w:t>4. Plantillas, contratos e IA</w:t>
      </w:r>
    </w:p>
    <w:p>
      <w:pPr>
        <w:pStyle w:val="Heading2"/>
        <w:keepNext/>
        <w:widowControl/>
      </w:pPr>
      <w:r>
        <w:t>Editor y gestión de plantillas</w:t>
      </w:r>
    </w:p>
    <w:p>
      <w:pPr>
        <w:widowControl/>
        <w:numPr>
          <w:ilvl w:val="0"/>
          <w:numId w:val="101"/>
        </w:numPr>
      </w:pPr>
      <w:r>
        <w:t>Catálogo de placeholders obtenido desde el backend, con fallback local si no está disponible.</w:t>
      </w:r>
    </w:p>
    <w:p>
      <w:pPr>
        <w:widowControl/>
        <w:numPr>
          <w:ilvl w:val="0"/>
          <w:numId w:val="101"/>
        </w:numPr>
      </w:pPr>
      <w:r>
        <w:t>Guardado manual de borradores, listado de los borradores propios vigentes, recuperación del más reciente y publicación como la misma versión o una versión nueva.</w:t>
      </w:r>
    </w:p>
    <w:p>
      <w:pPr>
        <w:widowControl/>
        <w:numPr>
          <w:ilvl w:val="0"/>
          <w:numId w:val="101"/>
        </w:numPr>
      </w:pPr>
      <w:r>
        <w:t>Control de propiedad: cada administrador sólo puede recuperar o publicar sus propios borradores.</w:t>
      </w:r>
    </w:p>
    <w:p>
      <w:pPr>
        <w:widowControl/>
        <w:numPr>
          <w:ilvl w:val="0"/>
          <w:numId w:val="101"/>
        </w:numPr>
      </w:pPr>
      <w:r>
        <w:t>Comparación visual entre versiones y clonación de una plantilla para crear una nueva a partir de otra.</w:t>
      </w:r>
    </w:p>
    <w:p>
      <w:pPr>
        <w:widowControl/>
        <w:numPr>
          <w:ilvl w:val="0"/>
          <w:numId w:val="101"/>
        </w:numPr>
      </w:pPr>
      <w:r>
        <w:t>Se mantuvo el bloqueo de edición y se reforzó su experiencia con renovación y liberación desde el editor.</w:t>
      </w:r>
    </w:p>
    <w:p>
      <w:pPr>
        <w:widowControl/>
        <w:numPr>
          <w:ilvl w:val="0"/>
          <w:numId w:val="101"/>
        </w:numPr>
      </w:pPr>
      <w:r>
        <w:t>La sección de IA permite eliminar conversaciones; Gemini ahora es opcional y, si no hay clave, genera una base local marcada como fallback y exige revisión humana/legal.</w:t>
      </w:r>
    </w:p>
    <w:p>
      <w:pPr>
        <w:pStyle w:val="Heading2"/>
        <w:keepNext/>
        <w:widowControl/>
      </w:pPr>
      <w:r>
        <w:t>Flujo contractual</w:t>
      </w:r>
    </w:p>
    <w:p>
      <w:pPr>
        <w:widowControl/>
        <w:numPr>
          <w:ilvl w:val="0"/>
          <w:numId w:val="101"/>
        </w:numPr>
      </w:pPr>
      <w:r>
        <w:t>El administrador puede rechazar un contrato que ya fue firmado; el motivo es obligatorio, se registra en el expediente y se presenta en la interfaz.</w:t>
      </w:r>
    </w:p>
    <w:p>
      <w:pPr>
        <w:widowControl/>
        <w:numPr>
          <w:ilvl w:val="0"/>
          <w:numId w:val="101"/>
        </w:numPr>
      </w:pPr>
      <w:r>
        <w:t>La aprobación y el rechazo se excluyen mutuamente mientras se procesa una acción.</w:t>
      </w:r>
    </w:p>
    <w:p>
      <w:pPr>
        <w:widowControl/>
        <w:numPr>
          <w:ilvl w:val="0"/>
          <w:numId w:val="101"/>
        </w:numPr>
      </w:pPr>
      <w:r>
        <w:t>Los enlaces de PDFs y firmas en almacenamiento local se protegen con tokens temporales en lugar de exponer una ruta pública directa.</w:t>
      </w:r>
    </w:p>
    <w:p>
      <w:pPr>
        <w:widowControl/>
        <w:numPr>
          <w:ilvl w:val="0"/>
          <w:numId w:val="101"/>
        </w:numPr>
      </w:pPr>
      <w:r>
        <w:t>La pantalla de ajustes dejó de mostrar valores supuestos y consulta un endpoint real con estado de entorno, almacenamiento, IA y seguridad.</w:t>
      </w:r>
    </w:p>
    <w:p>
      <w:pPr>
        <w:pStyle w:val="Heading1"/>
        <w:keepNext/>
        <w:widowControl/>
      </w:pPr>
      <w:r>
        <w:t>5. Despliegue e infraestructura</w:t>
      </w:r>
    </w:p>
    <w:p>
      <w:pPr>
        <w:widowControl/>
      </w:pPr>
      <w:r>
        <w:t>Se preparó una arquitectura de producción reproducible para Azure, sin publicar directamente los puertos internos de la aplicación. Nginx es el único punto público y enruta /api al backend y el resto al frontend.</w:t>
      </w:r>
    </w:p>
    <w:tbl>
      <w:tblPr>
        <w:tblStyle w:val="TableGrid"/>
        <w:tblW w:type="dxa" w:w="9360"/>
        <w:jc w:val="left"/>
        <w:tblLayout w:type="fixed"/>
        <w:tblLook w:firstColumn="1" w:firstRow="1" w:lastColumn="0" w:lastRow="0" w:noHBand="0" w:noVBand="1" w:val="04A0"/>
        <w:tblInd w:w="120" w:type="dxa"/>
      </w:tblPr>
      <w:tblGrid>
        <w:gridCol w:w="1800"/>
        <w:gridCol w:w="3700"/>
        <w:gridCol w:w="3860"/>
      </w:tblGrid>
      <w:tr>
        <w:trPr>
          <w:tblHeader w:val="true"/>
          <w:cantSplit/>
        </w:trPr>
        <w:tc>
          <w:tcPr>
            <w:tcW w:type="dxa" w:w="180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Componente</w:t>
            </w:r>
          </w:p>
        </w:tc>
        <w:tc>
          <w:tcPr>
            <w:tcW w:type="dxa" w:w="370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Qué se agregó</w:t>
            </w:r>
          </w:p>
        </w:tc>
        <w:tc>
          <w:tcPr>
            <w:tcW w:type="dxa" w:w="386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Papel en producción</w:t>
            </w:r>
          </w:p>
        </w:tc>
      </w:tr>
      <w:tr>
        <w:trPr>
          <w:cantSplit/>
        </w:trPr>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Frontend</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Dockerfile Next.js y healthcheck</w:t>
            </w:r>
          </w:p>
        </w:tc>
        <w:tc>
          <w:tcPr>
            <w:tcW w:type="dxa" w:w="38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Servicio interno en puerto 3000</w:t>
            </w:r>
          </w:p>
        </w:tc>
      </w:tr>
      <w:tr>
        <w:trPr>
          <w:cantSplit/>
        </w:trPr>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Backend</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Dockerfile Express, variables y healthcheck</w:t>
            </w:r>
          </w:p>
        </w:tc>
        <w:tc>
          <w:tcPr>
            <w:tcW w:type="dxa" w:w="38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API interna en puerto 3001</w:t>
            </w:r>
          </w:p>
        </w:tc>
      </w:tr>
      <w:tr>
        <w:trPr>
          <w:cantSplit/>
        </w:trPr>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Nginx</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Reverse proxy, redirect HTTP→HTTPS, TLS y headers</w:t>
            </w:r>
          </w:p>
        </w:tc>
        <w:tc>
          <w:tcPr>
            <w:tcW w:type="dxa" w:w="38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Único acceso público: 80/443</w:t>
            </w:r>
          </w:p>
        </w:tc>
      </w:tr>
      <w:tr>
        <w:trPr>
          <w:cantSplit/>
        </w:trPr>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Certbot</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Emisión/renovación Let's Encrypt</w:t>
            </w:r>
          </w:p>
        </w:tc>
        <w:tc>
          <w:tcPr>
            <w:tcW w:type="dxa" w:w="38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Certificado público automatizado</w:t>
            </w:r>
          </w:p>
        </w:tc>
      </w:tr>
      <w:tr>
        <w:trPr>
          <w:cantSplit/>
        </w:trPr>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Storage</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Volumen persistente y URLs firmadas</w:t>
            </w:r>
          </w:p>
        </w:tc>
        <w:tc>
          <w:tcPr>
            <w:tcW w:type="dxa" w:w="38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Conserva PDFs y firmas</w:t>
            </w:r>
          </w:p>
        </w:tc>
      </w:tr>
      <w:tr>
        <w:trPr>
          <w:cantSplit/>
        </w:trPr>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Backup</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Contenedor Alpine con retención configurable</w:t>
            </w:r>
          </w:p>
        </w:tc>
        <w:tc>
          <w:tcPr>
            <w:tcW w:type="dxa" w:w="38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Respaldo periódico del volumen</w:t>
            </w:r>
          </w:p>
        </w:tc>
      </w:tr>
    </w:tbl>
    <w:p>
      <w:pPr>
        <w:widowControl/>
        <w:spacing w:after="40"/>
      </w:pPr>
    </w:p>
    <w:p>
      <w:pPr>
        <w:widowControl/>
        <w:numPr>
          <w:ilvl w:val="0"/>
          <w:numId w:val="101"/>
        </w:numPr>
      </w:pPr>
      <w:r>
        <w:t>compose.yaml para producción y compose.local.yaml para el entorno local con HTTPS.</w:t>
      </w:r>
    </w:p>
    <w:p>
      <w:pPr>
        <w:widowControl/>
        <w:numPr>
          <w:ilvl w:val="0"/>
          <w:numId w:val="101"/>
        </w:numPr>
      </w:pPr>
      <w:r>
        <w:t>Límites de CPU/memoria y healthchecks para frontend, backend, Nginx, Certbot y respaldo.</w:t>
      </w:r>
    </w:p>
    <w:p>
      <w:pPr>
        <w:widowControl/>
        <w:numPr>
          <w:ilvl w:val="0"/>
          <w:numId w:val="101"/>
        </w:numPr>
      </w:pPr>
      <w:r>
        <w:t>Scripts para preparar Ubuntu, obtener certificados, cambiar el dominio público, desplegar un tag, verificar producción y hacer rollback.</w:t>
      </w:r>
    </w:p>
    <w:p>
      <w:pPr>
        <w:widowControl/>
        <w:numPr>
          <w:ilvl w:val="0"/>
          <w:numId w:val="101"/>
        </w:numPr>
      </w:pPr>
      <w:r>
        <w:t>El despliegue registra el commit anterior y reinicia Nginx después de reconstruir servicios para evitar resoluciones internas obsoletas y respuestas 502.</w:t>
      </w:r>
    </w:p>
    <w:p>
      <w:pPr>
        <w:widowControl/>
        <w:numPr>
          <w:ilvl w:val="0"/>
          <w:numId w:val="101"/>
        </w:numPr>
      </w:pPr>
      <w:r>
        <w:t>Configuración adicional para una VM estudiantil con recursos limitados y scripts para iniciar/detener únicamente SEAL sin afectar otros servicios del servidor.</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150" w:type="dxa"/>
              <w:start w:w="180" w:type="dxa"/>
              <w:bottom w:w="150" w:type="dxa"/>
              <w:end w:w="180" w:type="dxa"/>
            </w:tcMar>
            <w:vAlign w:val="center"/>
            <w:shd w:fill="EAF2F8"/>
          </w:tcPr>
          <w:p>
            <w:pPr>
              <w:spacing w:after="60"/>
            </w:pPr>
            <w:r>
              <w:rPr>
                <w:b/>
                <w:color w:val="17365D"/>
                <w:sz w:val="18"/>
              </w:rPr>
              <w:t>ENTORNO DOCUMENTADO</w:t>
            </w:r>
          </w:p>
          <w:p>
            <w:pPr>
              <w:spacing w:before="0" w:after="0" w:line="264" w:lineRule="auto"/>
            </w:pPr>
            <w:r>
              <w:rPr>
                <w:color w:val="1F2937"/>
                <w:sz w:val="21"/>
              </w:rPr>
              <w:t>La documentación del repositorio registra el despliegue en Azure for Students, VM roco-v4 con Ubuntu 22.04, bajo https://seal.westus2.cloudapp.azure.com. Este documento resume la evidencia guardada en el proyecto; no constituye una verificación en vivo del servidor.</w:t>
            </w:r>
          </w:p>
        </w:tc>
      </w:tr>
    </w:tbl>
    <w:p>
      <w:pPr>
        <w:widowControl/>
        <w:spacing w:after="40"/>
      </w:pPr>
    </w:p>
    <w:p>
      <w:pPr>
        <w:pStyle w:val="Heading1"/>
        <w:keepNext/>
        <w:widowControl/>
      </w:pPr>
      <w:r>
        <w:t>6. QA, CI y resultados</w:t>
      </w:r>
    </w:p>
    <w:p>
      <w:pPr>
        <w:pStyle w:val="Heading2"/>
        <w:keepNext/>
        <w:widowControl/>
      </w:pPr>
      <w:r>
        <w:t>Cobertura automatizada</w:t>
      </w:r>
    </w:p>
    <w:p>
      <w:pPr>
        <w:widowControl/>
        <w:numPr>
          <w:ilvl w:val="0"/>
          <w:numId w:val="101"/>
        </w:numPr>
      </w:pPr>
      <w:r>
        <w:t>Jest: pruebas unitarias y de caja blanca para autenticación, middleware JWT, placeholders, escape HTML y hash reproducible de evidencias.</w:t>
      </w:r>
    </w:p>
    <w:p>
      <w:pPr>
        <w:widowControl/>
        <w:numPr>
          <w:ilvl w:val="0"/>
          <w:numId w:val="101"/>
        </w:numPr>
      </w:pPr>
      <w:r>
        <w:t>Playwright: login correcto, credenciales inválidas, redirección obligatoria para cambiar contraseña y accesibilidad del botón de recuperación.</w:t>
      </w:r>
    </w:p>
    <w:p>
      <w:pPr>
        <w:widowControl/>
        <w:numPr>
          <w:ilvl w:val="0"/>
          <w:numId w:val="101"/>
        </w:numPr>
      </w:pPr>
      <w:r>
        <w:t>k6: prueba de carga de 50 usuarios virtuales durante 30 segundos, con umbral p95 menor a 500 ms.</w:t>
      </w:r>
    </w:p>
    <w:p>
      <w:pPr>
        <w:widowControl/>
        <w:numPr>
          <w:ilvl w:val="0"/>
          <w:numId w:val="101"/>
        </w:numPr>
      </w:pPr>
      <w:r>
        <w:t>Lighthouse CI: métricas de rendimiento, accesibilidad, mejores prácticas y SEO.</w:t>
      </w:r>
    </w:p>
    <w:p>
      <w:pPr>
        <w:widowControl/>
        <w:numPr>
          <w:ilvl w:val="0"/>
          <w:numId w:val="101"/>
        </w:numPr>
      </w:pPr>
      <w:r>
        <w:t>GitHub Actions: trabajos separados para Jest/cobertura, build del frontend e integración Playwright en Ubuntu con Node 22.</w:t>
      </w:r>
    </w:p>
    <w:p>
      <w:pPr>
        <w:pStyle w:val="Heading2"/>
        <w:keepNext/>
        <w:widowControl/>
      </w:pPr>
      <w:r>
        <w:t>Resultados guardados de producción (11 de agosto)</w:t>
      </w:r>
    </w:p>
    <w:tbl>
      <w:tblPr>
        <w:tblStyle w:val="TableGrid"/>
        <w:tblW w:type="dxa" w:w="9360"/>
        <w:jc w:val="left"/>
        <w:tblLayout w:type="fixed"/>
        <w:tblLook w:firstColumn="1" w:firstRow="1" w:lastColumn="0" w:lastRow="0" w:noHBand="0" w:noVBand="1" w:val="04A0"/>
        <w:tblInd w:w="120" w:type="dxa"/>
      </w:tblPr>
      <w:tblGrid>
        <w:gridCol w:w="1800"/>
        <w:gridCol w:w="2600"/>
        <w:gridCol w:w="4960"/>
      </w:tblGrid>
      <w:tr>
        <w:trPr>
          <w:tblHeader w:val="true"/>
          <w:cantSplit/>
        </w:trPr>
        <w:tc>
          <w:tcPr>
            <w:tcW w:type="dxa" w:w="180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Prueba</w:t>
            </w:r>
          </w:p>
        </w:tc>
        <w:tc>
          <w:tcPr>
            <w:tcW w:type="dxa" w:w="260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Resultado</w:t>
            </w:r>
          </w:p>
        </w:tc>
        <w:tc>
          <w:tcPr>
            <w:tcW w:type="dxa" w:w="496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Lectura rápida</w:t>
            </w:r>
          </w:p>
        </w:tc>
      </w:tr>
      <w:tr>
        <w:trPr>
          <w:cantSplit/>
        </w:trPr>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Jest</w:t>
            </w:r>
          </w:p>
        </w:tc>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17/17; 4 suites</w:t>
            </w:r>
          </w:p>
        </w:tc>
        <w:tc>
          <w:tcPr>
            <w:tcW w:type="dxa" w:w="49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90.74% líneas; 84.42% sentencias</w:t>
            </w:r>
          </w:p>
        </w:tc>
      </w:tr>
      <w:tr>
        <w:trPr>
          <w:cantSplit/>
        </w:trPr>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Playwright</w:t>
            </w:r>
          </w:p>
        </w:tc>
        <w:tc>
          <w:tcPr>
            <w:tcW w:type="dxa" w:w="26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4/4</w:t>
            </w:r>
          </w:p>
        </w:tc>
        <w:tc>
          <w:tcPr>
            <w:tcW w:type="dxa" w:w="49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10.0 s; flujos principales aprobados</w:t>
            </w:r>
          </w:p>
        </w:tc>
      </w:tr>
      <w:tr>
        <w:trPr>
          <w:cantSplit/>
        </w:trPr>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k6</w:t>
            </w:r>
          </w:p>
        </w:tc>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1,387 solicitudes</w:t>
            </w:r>
          </w:p>
        </w:tc>
        <w:tc>
          <w:tcPr>
            <w:tcW w:type="dxa" w:w="49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0% errores; p95 202.96 ms; 43.45 req/s</w:t>
            </w:r>
          </w:p>
        </w:tc>
      </w:tr>
      <w:tr>
        <w:trPr>
          <w:cantSplit/>
        </w:trPr>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Lighthouse</w:t>
            </w:r>
          </w:p>
        </w:tc>
        <w:tc>
          <w:tcPr>
            <w:tcW w:type="dxa" w:w="26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97 / 95 / 96 / 100</w:t>
            </w:r>
          </w:p>
        </w:tc>
        <w:tc>
          <w:tcPr>
            <w:tcW w:type="dxa" w:w="49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Performance / Accesibilidad / Prácticas / SEO</w:t>
            </w:r>
          </w:p>
        </w:tc>
      </w:tr>
      <w:tr>
        <w:trPr>
          <w:cantSplit/>
        </w:trPr>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HTTPS</w:t>
            </w:r>
          </w:p>
        </w:tc>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Aprobado</w:t>
            </w:r>
          </w:p>
        </w:tc>
        <w:tc>
          <w:tcPr>
            <w:tcW w:type="dxa" w:w="49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HTTP redirige y /api/health responde correctamente</w:t>
            </w:r>
          </w:p>
        </w:tc>
      </w:tr>
    </w:tbl>
    <w:p>
      <w:pPr>
        <w:widowControl/>
        <w:spacing w:after="40"/>
      </w:pPr>
    </w:p>
    <w:p>
      <w:pPr>
        <w:pStyle w:val="Heading2"/>
        <w:keepNext/>
        <w:widowControl/>
      </w:pPr>
      <w:r>
        <w:t>Estabilización final de CI</w:t>
      </w:r>
    </w:p>
    <w:p>
      <w:pPr>
        <w:widowControl/>
      </w:pPr>
      <w:r>
        <w:t>Los dos commits posteriores a la etiqueta de release no cambiaron funcionalidad del producto. Sincronizaron qa/package-lock.json para instalaciones reproducibles en Linux y ajustaron el workflow/Playwright para compilar y arrancar Next.js en modo producción antes de ejecutar las pruebas E2E, con un reintento en CI y conservación del reporte cuando falla.</w:t>
      </w:r>
    </w:p>
    <w:p>
      <w:pPr>
        <w:pStyle w:val="Heading1"/>
        <w:keepNext/>
        <w:widowControl/>
      </w:pPr>
      <w:r>
        <w:t>7. Documentación y entregables</w:t>
      </w:r>
    </w:p>
    <w:p>
      <w:pPr>
        <w:widowControl/>
        <w:numPr>
          <w:ilvl w:val="0"/>
          <w:numId w:val="101"/>
        </w:numPr>
      </w:pPr>
      <w:r>
        <w:t>Directiva de liberación con Versionamiento Semántico, criterios de aceptación, tag vMAJOR.MINOR.PATCH-release y procedimiento de rollback.</w:t>
      </w:r>
    </w:p>
    <w:p>
      <w:pPr>
        <w:widowControl/>
        <w:numPr>
          <w:ilvl w:val="0"/>
          <w:numId w:val="101"/>
        </w:numPr>
      </w:pPr>
      <w:r>
        <w:t>Guía completa de despliegue en Azure, DNS gratuito, HTTPS, variables, ejecución QA y apagado selectivo.</w:t>
      </w:r>
    </w:p>
    <w:p>
      <w:pPr>
        <w:widowControl/>
        <w:numPr>
          <w:ilvl w:val="0"/>
          <w:numId w:val="101"/>
        </w:numPr>
      </w:pPr>
      <w:r>
        <w:t>Resultados QA locales y de producción, más guion de video de cinco minutos.</w:t>
      </w:r>
    </w:p>
    <w:p>
      <w:pPr>
        <w:widowControl/>
        <w:numPr>
          <w:ilvl w:val="0"/>
          <w:numId w:val="101"/>
        </w:numPr>
      </w:pPr>
      <w:r>
        <w:t>Checklist y principios de codificación segura; guía de demostración y documentos legales de privacidad/protección de datos.</w:t>
      </w:r>
    </w:p>
    <w:p>
      <w:pPr>
        <w:widowControl/>
        <w:numPr>
          <w:ilvl w:val="0"/>
          <w:numId w:val="101"/>
        </w:numPr>
      </w:pPr>
      <w:r>
        <w:t>Plan de pruebas y reportes del proyecto en Entregables_SEAL, además de PDFs de despliegue, QA y codificación segura.</w:t>
      </w:r>
    </w:p>
    <w:p>
      <w:pPr>
        <w:widowControl/>
        <w:numPr>
          <w:ilvl w:val="0"/>
          <w:numId w:val="101"/>
        </w:numPr>
      </w:pPr>
      <w:r>
        <w:t>Scripts generadores para reconstruir documentos Word/PDF de manera reproducible.</w:t>
      </w:r>
    </w:p>
    <w:p>
      <w:pPr>
        <w:pStyle w:val="Heading1"/>
        <w:keepNext/>
        <w:widowControl/>
      </w:pPr>
      <w:r>
        <w:t>8. Qué debe saber quien retoma SEAL</w:t>
      </w:r>
    </w:p>
    <w:p>
      <w:pPr>
        <w:pStyle w:val="Heading2"/>
        <w:keepNext/>
        <w:widowControl/>
      </w:pPr>
      <w:r>
        <w:t>Mapa técnico rápido</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Ruta</w:t>
            </w:r>
          </w:p>
        </w:tc>
        <w:tc>
          <w:tcPr>
            <w:tcW w:type="dxa" w:w="716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Responsabilidad</w:t>
            </w:r>
          </w:p>
        </w:tc>
      </w:tr>
      <w:tr>
        <w:trPr>
          <w:cantSplit/>
        </w:trP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Front/</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Interfaz Next.js para administración, clientes, activación, recuperación y documentos legales</w:t>
            </w:r>
          </w:p>
        </w:tc>
      </w:tr>
      <w:tr>
        <w:trPr>
          <w:cantSplit/>
        </w:trPr>
        <w:tc>
          <w:tcPr>
            <w:tcW w:type="dxa" w:w="22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Back/</w:t>
            </w:r>
          </w:p>
        </w:tc>
        <w:tc>
          <w:tcPr>
            <w:tcW w:type="dxa" w:w="71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API Express, Firebase/Firestore, correo, contratos, tokens, firmas, PDFs e IA</w:t>
            </w:r>
          </w:p>
        </w:tc>
      </w:tr>
      <w:tr>
        <w:trPr>
          <w:cantSplit/>
        </w:trP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qa/</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Playwright, Jest compartido, k6, Lighthouse y scripts de evidencia</w:t>
            </w:r>
          </w:p>
        </w:tc>
      </w:tr>
      <w:tr>
        <w:trPr>
          <w:cantSplit/>
        </w:trPr>
        <w:tc>
          <w:tcPr>
            <w:tcW w:type="dxa" w:w="22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deploy/</w:t>
            </w:r>
          </w:p>
        </w:tc>
        <w:tc>
          <w:tcPr>
            <w:tcW w:type="dxa" w:w="71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Nginx, certificados, Azure/Ubuntu, release, verificación, rollback y control de VM</w:t>
            </w:r>
          </w:p>
        </w:tc>
      </w:tr>
      <w:tr>
        <w:trPr>
          <w:cantSplit/>
        </w:trP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docs/</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Políticas, guías, resultados, código generador y documentación de seguridad</w:t>
            </w:r>
          </w:p>
        </w:tc>
      </w:tr>
      <w:tr>
        <w:trPr>
          <w:cantSplit/>
        </w:trPr>
        <w:tc>
          <w:tcPr>
            <w:tcW w:type="dxa" w:w="22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compose*.yaml</w:t>
            </w:r>
          </w:p>
        </w:tc>
        <w:tc>
          <w:tcPr>
            <w:tcW w:type="dxa" w:w="71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Orquestación local y de producción</w:t>
            </w:r>
          </w:p>
        </w:tc>
      </w:tr>
    </w:tbl>
    <w:p>
      <w:pPr>
        <w:widowControl/>
        <w:spacing w:after="40"/>
      </w:pPr>
    </w:p>
    <w:p>
      <w:pPr>
        <w:pStyle w:val="Heading2"/>
        <w:keepNext/>
        <w:widowControl/>
      </w:pPr>
      <w:r>
        <w:t>Reglas operativas importantes</w:t>
      </w:r>
    </w:p>
    <w:p>
      <w:pPr>
        <w:widowControl/>
        <w:numPr>
          <w:ilvl w:val="0"/>
          <w:numId w:val="101"/>
        </w:numPr>
      </w:pPr>
      <w:r>
        <w:t>No volver a guardar JWT en localStorage; el frontend debe usar credentials: include y la sesión del servidor.</w:t>
      </w:r>
    </w:p>
    <w:p>
      <w:pPr>
        <w:widowControl/>
        <w:numPr>
          <w:ilvl w:val="0"/>
          <w:numId w:val="101"/>
        </w:numPr>
      </w:pPr>
      <w:r>
        <w:t>No mezclar activación con recuperación: cada token tiene propósito, estado y reglas de usuario distintas.</w:t>
      </w:r>
    </w:p>
    <w:p>
      <w:pPr>
        <w:widowControl/>
        <w:numPr>
          <w:ilvl w:val="0"/>
          <w:numId w:val="101"/>
        </w:numPr>
      </w:pPr>
      <w:r>
        <w:t>No publicar secretos: crear .env desde los ejemplos y montar la cuenta Firebase desde Back/secrets/firebase-admin.json.</w:t>
      </w:r>
    </w:p>
    <w:p>
      <w:pPr>
        <w:widowControl/>
        <w:numPr>
          <w:ilvl w:val="0"/>
          <w:numId w:val="101"/>
        </w:numPr>
      </w:pPr>
      <w:r>
        <w:t>Antes de usar una plantilla generada por IA, revisarla de forma humana y legal; el fallback sólo es una base.</w:t>
      </w:r>
    </w:p>
    <w:p>
      <w:pPr>
        <w:widowControl/>
        <w:numPr>
          <w:ilvl w:val="0"/>
          <w:numId w:val="101"/>
        </w:numPr>
      </w:pPr>
      <w:r>
        <w:t>Una entrega estable debe aprobar build, Jest, Playwright, revisión de secretos y verificación de /api/health; después se etiqueta y despliega el tag.</w:t>
      </w:r>
    </w:p>
    <w:p>
      <w:pPr>
        <w:widowControl/>
        <w:numPr>
          <w:ilvl w:val="0"/>
          <w:numId w:val="101"/>
        </w:numPr>
      </w:pPr>
      <w:r>
        <w:t>Con almacenamiento local, conservar el volumen y sus respaldos. Borrar un cliente no elimina el expediente contractual histórico.</w:t>
      </w:r>
    </w:p>
    <w:p>
      <w:pPr>
        <w:pStyle w:val="Heading2"/>
        <w:keepNext/>
        <w:widowControl/>
      </w:pPr>
      <w:r>
        <w:t>Comandos esenciales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Tarea</w:t>
            </w:r>
          </w:p>
        </w:tc>
        <w:tc>
          <w:tcPr>
            <w:tcW w:type="dxa" w:w="7160"/>
            <w:shd w:fill="E8EEF5"/>
            <w:tcMar>
              <w:top w:w="80" w:type="dxa"/>
              <w:start w:w="120" w:type="dxa"/>
              <w:bottom w:w="80" w:type="dxa"/>
              <w:end w:w="120" w:type="dxa"/>
            </w:tcMar>
            <w:vAlign w:val="center"/>
          </w:tcPr>
          <w:p>
            <w:pPr>
              <w:spacing w:before="0" w:after="0" w:line="259" w:lineRule="auto"/>
              <w:jc w:val="left"/>
            </w:pPr>
            <w:r/>
            <w:r>
              <w:rPr>
                <w:rFonts w:ascii="Calibri" w:hAnsi="Calibri"/>
                <w:b/>
                <w:color w:val="17365D"/>
                <w:sz w:val="18"/>
              </w:rPr>
              <w:t>Comando</w:t>
            </w:r>
          </w:p>
        </w:tc>
      </w:tr>
      <w:tr>
        <w:trPr>
          <w:cantSplit/>
        </w:trP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Pruebas backend</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npm --prefix Back run test:coverage</w:t>
            </w:r>
          </w:p>
        </w:tc>
      </w:tr>
      <w:tr>
        <w:trPr>
          <w:cantSplit/>
        </w:trPr>
        <w:tc>
          <w:tcPr>
            <w:tcW w:type="dxa" w:w="22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Pruebas E2E</w:t>
            </w:r>
          </w:p>
        </w:tc>
        <w:tc>
          <w:tcPr>
            <w:tcW w:type="dxa" w:w="71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npm --prefix qa run test:e2e</w:t>
            </w:r>
          </w:p>
        </w:tc>
      </w:tr>
      <w:tr>
        <w:trPr>
          <w:cantSplit/>
        </w:trP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Build frontend</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npm --prefix Front run build</w:t>
            </w:r>
          </w:p>
        </w:tc>
      </w:tr>
      <w:tr>
        <w:trPr>
          <w:cantSplit/>
        </w:trPr>
        <w:tc>
          <w:tcPr>
            <w:tcW w:type="dxa" w:w="22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QA contra cloud</w:t>
            </w:r>
          </w:p>
        </w:tc>
        <w:tc>
          <w:tcPr>
            <w:tcW w:type="dxa" w:w="71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BASE_URL=https://seal.westus2.cloudapp.azure.com ./qa/scripts/run-cloud-qa.sh</w:t>
            </w:r>
          </w:p>
        </w:tc>
      </w:tr>
      <w:tr>
        <w:trPr>
          <w:cantSplit/>
        </w:trP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Verificar producción</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./deploy/cloud/verify-production.sh seal.westus2.cloudapp.azure.com</w:t>
            </w:r>
          </w:p>
        </w:tc>
      </w:tr>
      <w:tr>
        <w:trPr>
          <w:cantSplit/>
        </w:trPr>
        <w:tc>
          <w:tcPr>
            <w:tcW w:type="dxa" w:w="22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Rollback</w:t>
            </w:r>
          </w:p>
        </w:tc>
        <w:tc>
          <w:tcPr>
            <w:tcW w:type="dxa" w:w="71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F2937"/>
                <w:sz w:val="18"/>
              </w:rPr>
              <w:t>./deploy/cloud/rollback.sh</w:t>
            </w:r>
          </w:p>
        </w:tc>
      </w:tr>
    </w:tbl>
    <w:p>
      <w:pPr>
        <w:widowControl/>
        <w:spacing w:after="40"/>
      </w:pPr>
    </w:p>
    <w:p>
      <w:pPr>
        <w:pStyle w:val="Heading1"/>
        <w:keepNext/>
        <w:widowControl/>
      </w:pPr>
      <w:r>
        <w:t>9. Pendientes y precauciones</w:t>
      </w:r>
    </w:p>
    <w:p>
      <w:pPr>
        <w:widowControl/>
        <w:numPr>
          <w:ilvl w:val="0"/>
          <w:numId w:val="101"/>
        </w:numPr>
      </w:pPr>
      <w:r>
        <w:t>El historial intermedio no permite saber en qué día se implementó cada cambio: casi todo fue consolidado en un único commit de release.</w:t>
      </w:r>
    </w:p>
    <w:p>
      <w:pPr>
        <w:widowControl/>
        <w:numPr>
          <w:ilvl w:val="0"/>
          <w:numId w:val="101"/>
        </w:numPr>
      </w:pPr>
      <w:r>
        <w:t>El frontend y backend reportaban auditorías de producción sin vulnerabilidades altas/críticas; quedaron ocho dependencias moderadas transitivas de Firebase que requieren evaluar una actualización mayor por separado.</w:t>
      </w:r>
    </w:p>
    <w:p>
      <w:pPr>
        <w:widowControl/>
        <w:numPr>
          <w:ilvl w:val="0"/>
          <w:numId w:val="101"/>
        </w:numPr>
      </w:pPr>
      <w:r>
        <w:t>Si SMTP no está configurado, las invitaciones se crean pero no se entregan por correo.</w:t>
      </w:r>
    </w:p>
    <w:p>
      <w:pPr>
        <w:widowControl/>
        <w:numPr>
          <w:ilvl w:val="0"/>
          <w:numId w:val="101"/>
        </w:numPr>
      </w:pPr>
      <w:r>
        <w:t>Si Gemini no está configurado, el sistema funciona con fallback, pero la calidad del borrador es deliberadamente básica.</w:t>
      </w:r>
    </w:p>
    <w:p>
      <w:pPr>
        <w:widowControl/>
        <w:numPr>
          <w:ilvl w:val="0"/>
          <w:numId w:val="101"/>
        </w:numPr>
      </w:pPr>
      <w:r>
        <w:t>La URL y métricas de producción son evidencia fechada del 11 de agosto; conviene ejecutar nuevamente verify-production.sh y la suite cloud antes de una demostración futura.</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150" w:type="dxa"/>
              <w:start w:w="180" w:type="dxa"/>
              <w:bottom w:w="150" w:type="dxa"/>
              <w:end w:w="180" w:type="dxa"/>
            </w:tcMar>
            <w:vAlign w:val="center"/>
            <w:shd w:fill="E8F5EF"/>
          </w:tcPr>
          <w:p>
            <w:pPr>
              <w:spacing w:after="60"/>
            </w:pPr>
            <w:r>
              <w:rPr>
                <w:b/>
                <w:color w:val="1E6B52"/>
                <w:sz w:val="18"/>
              </w:rPr>
              <w:t>CONCLUSIÓN</w:t>
            </w:r>
          </w:p>
          <w:p>
            <w:pPr>
              <w:spacing w:before="0" w:after="0" w:line="264" w:lineRule="auto"/>
            </w:pPr>
            <w:r>
              <w:rPr>
                <w:color w:val="1F2937"/>
                <w:sz w:val="21"/>
              </w:rPr>
              <w:t>El trabajo de estos dos meses no fue sólo añadir pantallas: convirtió SEAL en una entrega operable y demostrable, con controles de seguridad, privacidad, trazabilidad, pruebas automatizadas y procedimientos para publicar o revertir una versión. La siguiente persona puede concentrarse en evolución funcional y mantenimiento, apoyándose en una base de release y QA ya documentada.</w:t>
            </w:r>
          </w:p>
        </w:tc>
      </w:tr>
    </w:tbl>
    <w:p>
      <w:pPr>
        <w:widowControl/>
        <w:spacing w:after="40"/>
      </w:pPr>
    </w:p>
    <w:sectPr w:rsidR="00FC693F" w:rsidRPr="0006063C" w:rsidSect="00034616">
      <w:headerReference w:type="default" r:id="rId9"/>
      <w:footerReference w:type="default" r:id="rId10"/>
      <w:pgSz w:w="12240" w:h="15840"/>
      <w:pgMar w:top="1181"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 xml:space="preserve">Página </w:t>
    </w:r>
    <w:fldSimple w:instr="PAGE"/>
    <w:r>
      <w:rPr>
        <w:color w:val="667085"/>
        <w:sz w:val="18"/>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SEAL  |  Resumen de evolución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multiLevelType w:val="singleLevel"/>
    <w:lvl w:ilvl="0">
      <w:start w:val="1"/>
      <w:numFmt w:val="bullet"/>
      <w:lvlText w:val="•"/>
      <w:suff w:val="tab"/>
      <w:pPr>
        <w:tabs>
          <w:tab w:val="num" w:pos="720"/>
        </w:tabs>
        <w:ind w:left="720" w:hanging="360"/>
        <w:spacing w:after="120" w:line="280" w:lineRule="auto"/>
      </w:pPr>
    </w:lvl>
  </w:abstractNum>
  <w:num w:numId="101">
    <w:abstractNumId w:val="101"/>
  </w:num>
  <w:abstractNum w:abstractNumId="102">
    <w:multiLevelType w:val="singleLevel"/>
    <w:lvl w:ilvl="0">
      <w:start w:val="1"/>
      <w:numFmt w:val="decimal"/>
      <w:lvlText w:val="%1."/>
      <w:suff w:val="tab"/>
      <w:pPr>
        <w:tabs>
          <w:tab w:val="num" w:pos="720"/>
        </w:tabs>
        <w:ind w:left="720" w:hanging="360"/>
        <w:spacing w:after="120" w:line="280" w:lineRule="auto"/>
      </w:pPr>
    </w:lvl>
  </w:abstract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de cambios de SEAL - últimos dos meses</dc:title>
  <dc:subject>Contexto técnico y funcional del proyecto SEAL</dc:subject>
  <dc:creator>Equipo SEAL</dc:creator>
  <cp:keywords>SEAL, resumen, cambios, release, QA, despliegue</cp:keywords>
  <dc:description>generated by python-docx</dc:description>
  <cp:lastModifiedBy/>
  <cp:revision>1</cp:revision>
  <dcterms:created xsi:type="dcterms:W3CDTF">2013-12-23T23:15:00Z</dcterms:created>
  <dcterms:modified xsi:type="dcterms:W3CDTF">2013-12-23T23:15:00Z</dcterms:modified>
  <cp:category/>
</cp:coreProperties>
</file>