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100"/>
        <w:jc w:val="center"/>
      </w:pPr>
      <w:r>
        <w:rPr>
          <w:rFonts w:ascii="Arial" w:cs="Arial" w:eastAsia="Arial" w:hAnsi="Arial"/>
          <w:b/>
          <w:bCs/>
          <w:color w:val="1B4332"/>
          <w:sz w:val="56"/>
          <w:szCs w:val="56"/>
        </w:rPr>
        <w:t xml:space="preserve">MICELIA</w:t>
      </w:r>
    </w:p>
    <w:p>
      <w:pPr>
        <w:spacing w:after="200"/>
        <w:jc w:val="center"/>
      </w:pPr>
      <w:r>
        <w:rPr>
          <w:rFonts w:ascii="Arial" w:cs="Arial" w:eastAsia="Arial" w:hAnsi="Arial"/>
          <w:color w:val="2D6A4F"/>
          <w:sz w:val="30"/>
          <w:szCs w:val="30"/>
        </w:rPr>
        <w:t xml:space="preserve">Perfil Nodo 1 e Impacto Socioeconómico</w:t>
      </w:r>
    </w:p>
    <w:p>
      <w:pPr>
        <w:pBdr>
          <w:bottom w:val="single" w:color="2D6A4F" w:sz="6" w:space="1"/>
        </w:pBdr>
        <w:spacing w:after="80"/>
        <w:jc w:val="center"/>
      </w:pPr>
    </w:p>
    <w:p>
      <w:pPr>
        <w:spacing w:after="60" w:before="300"/>
        <w:jc w:val="center"/>
      </w:pPr>
      <w:r>
        <w:rPr>
          <w:rFonts w:ascii="Arial" w:cs="Arial" w:eastAsia="Arial" w:hAnsi="Arial"/>
          <w:i/>
          <w:iCs/>
          <w:color w:val="555555"/>
          <w:sz w:val="22"/>
          <w:szCs w:val="22"/>
        </w:rPr>
        <w:t xml:space="preserve">La nueva máquina de internet que transforma el dinero en un mundo mejor</w:t>
      </w:r>
    </w:p>
    <w:p>
      <w:pPr>
        <w:spacing w:after="400"/>
        <w:jc w:val="center"/>
      </w:pPr>
      <w:r>
        <w:rPr>
          <w:rFonts w:ascii="Arial" w:cs="Arial" w:eastAsia="Arial" w:hAnsi="Arial"/>
          <w:color w:val="777777"/>
          <w:sz w:val="22"/>
          <w:szCs w:val="22"/>
        </w:rPr>
        <w:t xml:space="preserve">Jessicache — UTOP.IA / Mayo 2026</w:t>
      </w:r>
    </w:p>
    <w:p>
      <w:pPr>
        <w:jc w:val="center"/>
      </w:pPr>
      <w:r>
        <w:rPr>
          <w:rFonts w:ascii="Arial" w:cs="Arial" w:eastAsia="Arial" w:hAnsi="Arial"/>
          <w:color w:val="999999"/>
          <w:sz w:val="18"/>
          <w:szCs w:val="18"/>
        </w:rPr>
        <w:t xml:space="preserve">Documento de trabajo para interlocutores institucionales, políticos y potenciales socios</w:t>
      </w:r>
    </w:p>
    <w:p>
      <w:pPr>
        <w:sectPr>
          <w:pgSz w:w="11906" w:h="16838" w:orient="portrait"/>
          <w:pgMar w:top="1440" w:right="1440" w:bottom="1440" w:left="1440" w:header="708" w:footer="708" w:gutter="0"/>
          <w:pgNumType/>
          <w:docGrid w:linePitch="360"/>
        </w:sectPr>
      </w:pPr>
    </w:p>
    <w:p>
      <w:pPr>
        <w:pStyle w:val="Heading1"/>
      </w:pPr>
      <w:r>
        <w:t xml:space="preserve">1. Qué es Micelia</w:t>
      </w:r>
    </w:p>
    <w:p>
      <w:pPr>
        <w:spacing w:after="160"/>
      </w:pPr>
      <w:r>
        <w:rPr>
          <w:rFonts w:ascii="Arial" w:cs="Arial" w:eastAsia="Arial" w:hAnsi="Arial"/>
          <w:sz w:val="20"/>
          <w:szCs w:val="20"/>
        </w:rPr>
        <w:t xml:space="preserve">Micelia es un sistema socioeconómico digital donde cada persona es un nodo que contribuye al progreso colectivo mediante método científico asistido por inteligencia artificial, y recibe a cambio la cobertura de sus necesidades básicas. El nombre proviene del micelio biológico: la red subterránea de hongos que conecta árboles y transporta nutrientes hacia donde más se necesitan. Micelia hace lo mismo con personas, conocimiento y recursos.</w:t>
      </w:r>
    </w:p>
    <w:p>
      <w:pPr>
        <w:spacing w:after="160"/>
      </w:pPr>
      <w:r>
        <w:rPr>
          <w:rFonts w:ascii="Arial" w:cs="Arial" w:eastAsia="Arial" w:hAnsi="Arial"/>
          <w:b/>
          <w:bCs/>
          <w:sz w:val="20"/>
          <w:szCs w:val="20"/>
        </w:rPr>
        <w:t xml:space="preserve">No es una app de salud. No es un marketplace de freelancers. No es una academia. Es un contrato social nuevo: contribuyes al progreso humano con asistencia de IA, y el sistema cubre tus necesidades básicas calibradas a tu perfil. Micelia no te paga por existir — te cubre por contribuir.</w:t>
      </w:r>
    </w:p>
    <w:p>
      <w:pPr>
        <w:pStyle w:val="Heading2"/>
      </w:pPr>
      <w:r>
        <w:t xml:space="preserve">1.1 Diferencia fundamental con la Renta Básica Universal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UBI / Renta Básica Universal</w:t>
            </w:r>
          </w:p>
        </w:tc>
        <w:tc>
          <w:tcPr>
            <w:tcW w:type="dxa" w:w="4513"/>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Micelia</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Transferencia pasiva de dinero. Recibes por existir.</w:t>
            </w:r>
          </w:p>
        </w:tc>
        <w:tc>
          <w:tcPr>
            <w:tcW w:type="dxa" w:w="4513"/>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Cobertura activa por contribución. Recibes porque el micelio registra tu aporte real al progreso colectivo.</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No genera progreso científico ni productivo.</w:t>
            </w:r>
          </w:p>
        </w:tc>
        <w:tc>
          <w:tcPr>
            <w:tcW w:type="dxa" w:w="4513"/>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Cada acción del nodo es investigación con método científico. El progreso es continuo.</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Coste neto para el Estado sin retorno medible.</w:t>
            </w:r>
          </w:p>
        </w:tc>
        <w:tc>
          <w:tcPr>
            <w:tcW w:type="dxa" w:w="4513"/>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El Estado ahorra en desempleo, sanidad y servicios sociales. Retorno medible.</w:t>
            </w:r>
          </w:p>
        </w:tc>
      </w:tr>
    </w:tbl>
    <w:p>
      <w:r>
        <w:br w:type="page"/>
      </w:r>
    </w:p>
    <w:p>
      <w:pPr>
        <w:pStyle w:val="Heading1"/>
      </w:pPr>
      <w:r>
        <w:t xml:space="preserve">2. Perfil del Nodo 1: Jessicache</w:t>
      </w:r>
    </w:p>
    <w:p>
      <w:pPr>
        <w:spacing w:after="160"/>
      </w:pPr>
      <w:r>
        <w:rPr>
          <w:rFonts w:ascii="Arial" w:cs="Arial" w:eastAsia="Arial" w:hAnsi="Arial"/>
          <w:sz w:val="20"/>
          <w:szCs w:val="20"/>
        </w:rPr>
        <w:t xml:space="preserve">El Nodo 1 es el fundador actuando como primer usuario completo del sistema. Demuestra que Micelia funciona viviendo dentro de él.</w:t>
      </w:r>
    </w:p>
    <w:p>
      <w:pPr>
        <w:pStyle w:val="Heading2"/>
      </w:pPr>
      <w:r>
        <w:t xml:space="preserve">2.1 Identidad del nodo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B7E4C7" w:val="clear"/>
            <w:tcMar>
              <w:top w:type="dxa" w:w="80"/>
              <w:left w:type="dxa" w:w="120"/>
              <w:bottom w:type="dxa" w:w="80"/>
              <w:right w:type="dxa" w:w="120"/>
            </w:tcMar>
          </w:tcPr>
          <w:p>
            <w:pPr>
              <w:jc w:val="left"/>
            </w:pPr>
            <w:r>
              <w:rPr>
                <w:rFonts w:ascii="Arial" w:cs="Arial" w:eastAsia="Arial" w:hAnsi="Arial"/>
                <w:b/>
                <w:bCs/>
                <w:color w:val="333333"/>
                <w:sz w:val="18"/>
                <w:szCs w:val="18"/>
              </w:rPr>
              <w:t xml:space="preserve">Nombre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Jessicache</w:t>
            </w:r>
          </w:p>
        </w:tc>
      </w:tr>
      <w:tr>
        <w:tc>
          <w:tcPr>
            <w:tcW w:type="dxa" w:w="2500"/>
            <w:tcBorders>
              <w:top w:val="single" w:color="CCCCCC" w:sz="1"/>
              <w:left w:val="single" w:color="CCCCCC" w:sz="1"/>
              <w:bottom w:val="single" w:color="CCCCCC" w:sz="1"/>
              <w:right w:val="single" w:color="CCCCCC" w:sz="1"/>
            </w:tcBorders>
            <w:shd w:fill="B7E4C7" w:val="clear"/>
            <w:tcMar>
              <w:top w:type="dxa" w:w="80"/>
              <w:left w:type="dxa" w:w="120"/>
              <w:bottom w:type="dxa" w:w="80"/>
              <w:right w:type="dxa" w:w="120"/>
            </w:tcMar>
          </w:tcPr>
          <w:p>
            <w:pPr>
              <w:jc w:val="left"/>
            </w:pPr>
            <w:r>
              <w:rPr>
                <w:rFonts w:ascii="Arial" w:cs="Arial" w:eastAsia="Arial" w:hAnsi="Arial"/>
                <w:b/>
                <w:bCs/>
                <w:color w:val="333333"/>
                <w:sz w:val="18"/>
                <w:szCs w:val="18"/>
              </w:rPr>
              <w:t xml:space="preserve">Rol profesional</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Security Engineer @ Veridas / Investigador de longevidad</w:t>
            </w:r>
          </w:p>
        </w:tc>
      </w:tr>
      <w:tr>
        <w:tc>
          <w:tcPr>
            <w:tcW w:type="dxa" w:w="2500"/>
            <w:tcBorders>
              <w:top w:val="single" w:color="CCCCCC" w:sz="1"/>
              <w:left w:val="single" w:color="CCCCCC" w:sz="1"/>
              <w:bottom w:val="single" w:color="CCCCCC" w:sz="1"/>
              <w:right w:val="single" w:color="CCCCCC" w:sz="1"/>
            </w:tcBorders>
            <w:shd w:fill="B7E4C7" w:val="clear"/>
            <w:tcMar>
              <w:top w:type="dxa" w:w="80"/>
              <w:left w:type="dxa" w:w="120"/>
              <w:bottom w:type="dxa" w:w="80"/>
              <w:right w:type="dxa" w:w="120"/>
            </w:tcMar>
          </w:tcPr>
          <w:p>
            <w:pPr>
              <w:jc w:val="left"/>
            </w:pPr>
            <w:r>
              <w:rPr>
                <w:rFonts w:ascii="Arial" w:cs="Arial" w:eastAsia="Arial" w:hAnsi="Arial"/>
                <w:b/>
                <w:bCs/>
                <w:color w:val="333333"/>
                <w:sz w:val="18"/>
                <w:szCs w:val="18"/>
              </w:rPr>
              <w:t xml:space="preserve">Experiencia institucional</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4 años como profesor del programa Albañiles Digitales (SEPE/Navarra)</w:t>
            </w:r>
          </w:p>
        </w:tc>
      </w:tr>
      <w:tr>
        <w:tc>
          <w:tcPr>
            <w:tcW w:type="dxa" w:w="2500"/>
            <w:tcBorders>
              <w:top w:val="single" w:color="CCCCCC" w:sz="1"/>
              <w:left w:val="single" w:color="CCCCCC" w:sz="1"/>
              <w:bottom w:val="single" w:color="CCCCCC" w:sz="1"/>
              <w:right w:val="single" w:color="CCCCCC" w:sz="1"/>
            </w:tcBorders>
            <w:shd w:fill="B7E4C7" w:val="clear"/>
            <w:tcMar>
              <w:top w:type="dxa" w:w="80"/>
              <w:left w:type="dxa" w:w="120"/>
              <w:bottom w:type="dxa" w:w="80"/>
              <w:right w:type="dxa" w:w="120"/>
            </w:tcMar>
          </w:tcPr>
          <w:p>
            <w:pPr>
              <w:jc w:val="left"/>
            </w:pPr>
            <w:r>
              <w:rPr>
                <w:rFonts w:ascii="Arial" w:cs="Arial" w:eastAsia="Arial" w:hAnsi="Arial"/>
                <w:b/>
                <w:bCs/>
                <w:color w:val="333333"/>
                <w:sz w:val="18"/>
                <w:szCs w:val="18"/>
              </w:rPr>
              <w:t xml:space="preserve">Stack técnico</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Python, TypeScript, Frida, WebRTC, React, Docker, Claude/GPT/Ollama, Burp Suite</w:t>
            </w:r>
          </w:p>
        </w:tc>
      </w:tr>
      <w:tr>
        <w:tc>
          <w:tcPr>
            <w:tcW w:type="dxa" w:w="2500"/>
            <w:tcBorders>
              <w:top w:val="single" w:color="CCCCCC" w:sz="1"/>
              <w:left w:val="single" w:color="CCCCCC" w:sz="1"/>
              <w:bottom w:val="single" w:color="CCCCCC" w:sz="1"/>
              <w:right w:val="single" w:color="CCCCCC" w:sz="1"/>
            </w:tcBorders>
            <w:shd w:fill="B7E4C7" w:val="clear"/>
            <w:tcMar>
              <w:top w:type="dxa" w:w="80"/>
              <w:left w:type="dxa" w:w="120"/>
              <w:bottom w:type="dxa" w:w="80"/>
              <w:right w:type="dxa" w:w="120"/>
            </w:tcMar>
          </w:tcPr>
          <w:p>
            <w:pPr>
              <w:jc w:val="left"/>
            </w:pPr>
            <w:r>
              <w:rPr>
                <w:rFonts w:ascii="Arial" w:cs="Arial" w:eastAsia="Arial" w:hAnsi="Arial"/>
                <w:b/>
                <w:bCs/>
                <w:color w:val="333333"/>
                <w:sz w:val="18"/>
                <w:szCs w:val="18"/>
              </w:rPr>
              <w:t xml:space="preserve">Filosofía</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Pensadero: ciberseguridad × filosofía × termodinámica × biología</w:t>
            </w:r>
          </w:p>
        </w:tc>
      </w:tr>
    </w:tbl>
    <w:p>
      <w:pPr>
        <w:spacing w:after="40"/>
      </w:pPr>
    </w:p>
    <w:p>
      <w:pPr>
        <w:pStyle w:val="Heading2"/>
      </w:pPr>
      <w:r>
        <w:t xml:space="preserve">2.2 Necesidades básicas declaradas (perfil de micelio)</w:t>
      </w:r>
    </w:p>
    <w:p>
      <w:pPr>
        <w:spacing w:after="160"/>
      </w:pPr>
      <w:r>
        <w:rPr>
          <w:rFonts w:ascii="Arial" w:cs="Arial" w:eastAsia="Arial" w:hAnsi="Arial"/>
          <w:sz w:val="20"/>
          <w:szCs w:val="20"/>
        </w:rPr>
        <w:t xml:space="preserve">Al entrar en Micelia, cada nodo declara sus necesidades básicas. El sistema las analiza y asigna tareas cuya recompensa cubre directamente esas necesidades. Para el Nodo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2826"/>
      </w:tblGrid>
      <w:tr>
        <w:tc>
          <w:tcPr>
            <w:tcW w:type="dxa" w:w="2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Necesidad</w:t>
            </w:r>
          </w:p>
        </w:tc>
        <w:tc>
          <w:tcPr>
            <w:tcW w:type="dxa" w:w="18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Coste mensual</w:t>
            </w:r>
          </w:p>
        </w:tc>
        <w:tc>
          <w:tcPr>
            <w:tcW w:type="dxa" w:w="2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Cobertura Micelia</w:t>
            </w:r>
          </w:p>
        </w:tc>
        <w:tc>
          <w:tcPr>
            <w:tcW w:type="dxa" w:w="2826"/>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Cómo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Vivienda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€500-700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Parcial → Total</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Tareas de seguridad + formación generan créditos equivalentes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Alimentación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€250-350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Total</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Red de productores locales integrados en Micelia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Transporte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€50-150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Total</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Movilidad compartida entre nodos + créditos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Salud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€100-200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Total</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Rutina preventiva Micelia + acceso a red de profesionales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Formación continua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€50-100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Total</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IdeAcursi ilimitado como nodo activo</w:t>
            </w:r>
          </w:p>
        </w:tc>
      </w:tr>
      <w:tr>
        <w:tc>
          <w:tcPr>
            <w:tcW w:type="dxa" w:w="2200"/>
            <w:tcBorders>
              <w:top w:val="single" w:color="CCCCCC" w:sz="1"/>
              <w:left w:val="single" w:color="CCCCCC" w:sz="1"/>
              <w:bottom w:val="single" w:color="CCCCCC" w:sz="1"/>
              <w:right w:val="single" w:color="CCCCCC" w:sz="1"/>
            </w:tcBorders>
            <w:shd w:fill="B7E4C7" w:val="clear"/>
            <w:tcMar>
              <w:top w:type="dxa" w:w="80"/>
              <w:left w:type="dxa" w:w="120"/>
              <w:bottom w:type="dxa" w:w="80"/>
              <w:right w:type="dxa" w:w="120"/>
            </w:tcMar>
          </w:tcPr>
          <w:p>
            <w:pPr>
              <w:jc w:val="left"/>
            </w:pPr>
            <w:r>
              <w:rPr>
                <w:rFonts w:ascii="Arial" w:cs="Arial" w:eastAsia="Arial" w:hAnsi="Arial"/>
                <w:b/>
                <w:bCs/>
                <w:color w:val="333333"/>
                <w:sz w:val="18"/>
                <w:szCs w:val="18"/>
              </w:rPr>
              <w:t xml:space="preserve">TOTAL</w:t>
            </w:r>
          </w:p>
        </w:tc>
        <w:tc>
          <w:tcPr>
            <w:tcW w:type="dxa" w:w="1800"/>
            <w:tcBorders>
              <w:top w:val="single" w:color="CCCCCC" w:sz="1"/>
              <w:left w:val="single" w:color="CCCCCC" w:sz="1"/>
              <w:bottom w:val="single" w:color="CCCCCC" w:sz="1"/>
              <w:right w:val="single" w:color="CCCCCC" w:sz="1"/>
            </w:tcBorders>
            <w:shd w:fill="B7E4C7" w:val="clear"/>
            <w:tcMar>
              <w:top w:type="dxa" w:w="80"/>
              <w:left w:type="dxa" w:w="120"/>
              <w:bottom w:type="dxa" w:w="80"/>
              <w:right w:type="dxa" w:w="120"/>
            </w:tcMar>
          </w:tcPr>
          <w:p>
            <w:pPr>
              <w:jc w:val="center"/>
            </w:pPr>
            <w:r>
              <w:rPr>
                <w:rFonts w:ascii="Arial" w:cs="Arial" w:eastAsia="Arial" w:hAnsi="Arial"/>
                <w:b/>
                <w:bCs/>
                <w:color w:val="333333"/>
                <w:sz w:val="18"/>
                <w:szCs w:val="18"/>
              </w:rPr>
              <w:t xml:space="preserve">€950-1.500/mes</w:t>
            </w:r>
          </w:p>
        </w:tc>
        <w:tc>
          <w:tcPr>
            <w:tcW w:type="dxa" w:w="2200"/>
            <w:tcBorders>
              <w:top w:val="single" w:color="CCCCCC" w:sz="1"/>
              <w:left w:val="single" w:color="CCCCCC" w:sz="1"/>
              <w:bottom w:val="single" w:color="CCCCCC" w:sz="1"/>
              <w:right w:val="single" w:color="CCCCCC" w:sz="1"/>
            </w:tcBorders>
            <w:shd w:fill="B7E4C7" w:val="clear"/>
            <w:tcMar>
              <w:top w:type="dxa" w:w="80"/>
              <w:left w:type="dxa" w:w="120"/>
              <w:bottom w:type="dxa" w:w="80"/>
              <w:right w:type="dxa" w:w="120"/>
            </w:tcMar>
          </w:tcPr>
          <w:p>
            <w:pPr>
              <w:jc w:val="center"/>
            </w:pPr>
            <w:r>
              <w:rPr>
                <w:rFonts w:ascii="Arial" w:cs="Arial" w:eastAsia="Arial" w:hAnsi="Arial"/>
                <w:b/>
                <w:bCs/>
                <w:color w:val="1B4332"/>
                <w:sz w:val="18"/>
                <w:szCs w:val="18"/>
              </w:rPr>
              <w:t xml:space="preserve">80-100%</w:t>
            </w:r>
          </w:p>
        </w:tc>
        <w:tc>
          <w:tcPr>
            <w:tcW w:type="dxa" w:w="2826"/>
            <w:tcBorders>
              <w:top w:val="single" w:color="CCCCCC" w:sz="1"/>
              <w:left w:val="single" w:color="CCCCCC" w:sz="1"/>
              <w:bottom w:val="single" w:color="CCCCCC" w:sz="1"/>
              <w:right w:val="single" w:color="CCCCCC" w:sz="1"/>
            </w:tcBorders>
            <w:shd w:fill="B7E4C7"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Creciente conforme la red escala</w:t>
            </w:r>
          </w:p>
        </w:tc>
      </w:tr>
    </w:tbl>
    <w:p>
      <w:pPr>
        <w:pStyle w:val="Heading2"/>
      </w:pPr>
      <w:r>
        <w:t xml:space="preserve">2.3 Rutina diaria del Nodo 1</w:t>
      </w:r>
    </w:p>
    <w:p>
      <w:pPr>
        <w:spacing w:after="160"/>
      </w:pPr>
      <w:r>
        <w:rPr>
          <w:rFonts w:ascii="Arial" w:cs="Arial" w:eastAsia="Arial" w:hAnsi="Arial"/>
          <w:sz w:val="20"/>
          <w:szCs w:val="20"/>
        </w:rPr>
        <w:t xml:space="preserve">Micelia no solo asigna tareas — diseña una rutina diaria saludable y productiva que genera felicidad medible. La rutina del Nodo 1:</w:t>
      </w:r>
    </w:p>
    <w:p>
      <w:pPr>
        <w:pStyle w:val="ListParagraph"/>
        <w:numPr>
          <w:ilvl w:val="0"/>
          <w:numId w:val="2"/>
        </w:numPr>
        <w:spacing w:after="160"/>
      </w:pPr>
      <w:r>
        <w:rPr>
          <w:rFonts w:ascii="Arial" w:cs="Arial" w:eastAsia="Arial" w:hAnsi="Arial"/>
          <w:sz w:val="20"/>
          <w:szCs w:val="20"/>
        </w:rPr>
        <w:t xml:space="preserve">06:30 — Despertar natural. Micelia ajusta alarma según ciclos de sueño registrados por wearable.</w:t>
      </w:r>
    </w:p>
    <w:p>
      <w:pPr>
        <w:pStyle w:val="ListParagraph"/>
        <w:numPr>
          <w:ilvl w:val="0"/>
          <w:numId w:val="2"/>
        </w:numPr>
        <w:spacing w:after="160"/>
      </w:pPr>
      <w:r>
        <w:rPr>
          <w:rFonts w:ascii="Arial" w:cs="Arial" w:eastAsia="Arial" w:hAnsi="Arial"/>
          <w:sz w:val="20"/>
          <w:szCs w:val="20"/>
        </w:rPr>
        <w:t xml:space="preserve">07:00 — Ejercicio. Protocolo personalizado por Micelia basado en datos de HRV, recuperación muscular y objetivos.</w:t>
      </w:r>
    </w:p>
    <w:p>
      <w:pPr>
        <w:pStyle w:val="ListParagraph"/>
        <w:numPr>
          <w:ilvl w:val="0"/>
          <w:numId w:val="2"/>
        </w:numPr>
        <w:spacing w:after="160"/>
      </w:pPr>
      <w:r>
        <w:rPr>
          <w:rFonts w:ascii="Arial" w:cs="Arial" w:eastAsia="Arial" w:hAnsi="Arial"/>
          <w:sz w:val="20"/>
          <w:szCs w:val="20"/>
        </w:rPr>
        <w:t xml:space="preserve">08:00 — Nutrición. Plan alimentario calibrado por Canela Molida con evidencia científica de papers reales.</w:t>
      </w:r>
    </w:p>
    <w:p>
      <w:pPr>
        <w:pStyle w:val="ListParagraph"/>
        <w:numPr>
          <w:ilvl w:val="0"/>
          <w:numId w:val="2"/>
        </w:numPr>
        <w:spacing w:after="160"/>
      </w:pPr>
      <w:r>
        <w:rPr>
          <w:rFonts w:ascii="Arial" w:cs="Arial" w:eastAsia="Arial" w:hAnsi="Arial"/>
          <w:sz w:val="20"/>
          <w:szCs w:val="20"/>
        </w:rPr>
        <w:t xml:space="preserve">09:00-13:00 — Producción. Tareas asignadas por Micelia: desarrollo de features, auditorías de seguridad, generación de cursos. Todo asistido por agentes de IA.</w:t>
      </w:r>
    </w:p>
    <w:p>
      <w:pPr>
        <w:pStyle w:val="ListParagraph"/>
        <w:numPr>
          <w:ilvl w:val="0"/>
          <w:numId w:val="2"/>
        </w:numPr>
        <w:spacing w:after="160"/>
      </w:pPr>
      <w:r>
        <w:rPr>
          <w:rFonts w:ascii="Arial" w:cs="Arial" w:eastAsia="Arial" w:hAnsi="Arial"/>
          <w:sz w:val="20"/>
          <w:szCs w:val="20"/>
        </w:rPr>
        <w:t xml:space="preserve">13:00 — Comida consciente + descanso activo.</w:t>
      </w:r>
    </w:p>
    <w:p>
      <w:pPr>
        <w:pStyle w:val="ListParagraph"/>
        <w:numPr>
          <w:ilvl w:val="0"/>
          <w:numId w:val="2"/>
        </w:numPr>
        <w:spacing w:after="160"/>
      </w:pPr>
      <w:r>
        <w:rPr>
          <w:rFonts w:ascii="Arial" w:cs="Arial" w:eastAsia="Arial" w:hAnsi="Arial"/>
          <w:sz w:val="20"/>
          <w:szCs w:val="20"/>
        </w:rPr>
        <w:t xml:space="preserve">14:30-17:30 — Investigación. Contribución científica: papers leídos via Canela Molida, experimentos de longevidad documentados, datos compartidos con la red.</w:t>
      </w:r>
    </w:p>
    <w:p>
      <w:pPr>
        <w:pStyle w:val="ListParagraph"/>
        <w:numPr>
          <w:ilvl w:val="0"/>
          <w:numId w:val="2"/>
        </w:numPr>
        <w:spacing w:after="160"/>
      </w:pPr>
      <w:r>
        <w:rPr>
          <w:rFonts w:ascii="Arial" w:cs="Arial" w:eastAsia="Arial" w:hAnsi="Arial"/>
          <w:sz w:val="20"/>
          <w:szCs w:val="20"/>
        </w:rPr>
        <w:t xml:space="preserve">18:00 — Actividad cultural/social. Micelia conecta con otros nodos cercanos con intereses alineados.</w:t>
      </w:r>
    </w:p>
    <w:p>
      <w:pPr>
        <w:pStyle w:val="ListParagraph"/>
        <w:numPr>
          <w:ilvl w:val="0"/>
          <w:numId w:val="2"/>
        </w:numPr>
        <w:spacing w:after="160"/>
      </w:pPr>
      <w:r>
        <w:rPr>
          <w:rFonts w:ascii="Arial" w:cs="Arial" w:eastAsia="Arial" w:hAnsi="Arial"/>
          <w:sz w:val="20"/>
          <w:szCs w:val="20"/>
        </w:rPr>
        <w:t xml:space="preserve">20:00 — Reflexión y registro. El nodo documenta aprendizajes del día. El micelio los distribuye a quien más los necesite.</w:t>
      </w:r>
    </w:p>
    <w:p>
      <w:pPr>
        <w:pStyle w:val="ListParagraph"/>
        <w:numPr>
          <w:ilvl w:val="0"/>
          <w:numId w:val="2"/>
        </w:numPr>
        <w:spacing w:after="160"/>
      </w:pPr>
      <w:r>
        <w:rPr>
          <w:rFonts w:ascii="Arial" w:cs="Arial" w:eastAsia="Arial" w:hAnsi="Arial"/>
          <w:sz w:val="20"/>
          <w:szCs w:val="20"/>
        </w:rPr>
        <w:t xml:space="preserve">22:00 — Protocolo de sueño. Ambiente optimizado (temperatura, luz, ruido) según datos acumulados.</w:t>
      </w:r>
    </w:p>
    <w:p>
      <w:pPr>
        <w:spacing w:after="40"/>
      </w:pPr>
    </w:p>
    <w:p>
      <w:pPr>
        <w:spacing w:after="160"/>
      </w:pPr>
      <w:r>
        <w:rPr>
          <w:rFonts w:ascii="Arial" w:cs="Arial" w:eastAsia="Arial" w:hAnsi="Arial"/>
          <w:b/>
          <w:bCs/>
          <w:sz w:val="20"/>
          <w:szCs w:val="20"/>
        </w:rPr>
        <w:t xml:space="preserve">Esta rutina genera: salud física (ejercicio + nutrición personalizada), productividad real (tareas completadas con IA), progreso científico (investigación diaria), conexión social (comunidades alineadas), y bienestar mental (propósito + estructura + logros diarios). Todo medible. Todo registrado. Todo con evidencia.</w:t>
      </w:r>
    </w:p>
    <w:p>
      <w:r>
        <w:br w:type="page"/>
      </w:r>
    </w:p>
    <w:p>
      <w:pPr>
        <w:pStyle w:val="Heading1"/>
      </w:pPr>
      <w:r>
        <w:t xml:space="preserve">3. Impacto Económico: Lo que el Estado ahorra con cada nodo de Micelia</w:t>
      </w:r>
    </w:p>
    <w:p>
      <w:pPr>
        <w:spacing w:after="160"/>
      </w:pPr>
      <w:r>
        <w:rPr>
          <w:rFonts w:ascii="Arial" w:cs="Arial" w:eastAsia="Arial" w:hAnsi="Arial"/>
          <w:sz w:val="20"/>
          <w:szCs w:val="20"/>
        </w:rPr>
        <w:t xml:space="preserve">Esta sección presenta datos reales del sistema público español para cuantificar el ahorro que Micelia genera por cada persona que pasa de desempleada pasiva a nodo activo del micelio.</w:t>
      </w:r>
    </w:p>
    <w:p>
      <w:pPr>
        <w:pStyle w:val="Heading2"/>
      </w:pPr>
      <w:r>
        <w:t xml:space="preserve">3.1 Coste actual de una persona desempleada para el Estado</w:t>
      </w:r>
    </w:p>
    <w:p>
      <w:pPr>
        <w:spacing w:after="160"/>
      </w:pPr>
      <w:r>
        <w:rPr>
          <w:rFonts w:ascii="Arial" w:cs="Arial" w:eastAsia="Arial" w:hAnsi="Arial"/>
          <w:sz w:val="20"/>
          <w:szCs w:val="20"/>
        </w:rPr>
        <w:t xml:space="preserve">Fuentes: SEPE, Ministerio de Sanidad, INE, OMS. Datos 2025-2026.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2200"/>
        <w:gridCol w:w="3026"/>
      </w:tblGrid>
      <w:tr>
        <w:tc>
          <w:tcPr>
            <w:tcW w:type="dxa" w:w="38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Concepto</w:t>
            </w:r>
          </w:p>
        </w:tc>
        <w:tc>
          <w:tcPr>
            <w:tcW w:type="dxa" w:w="2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Coste anual</w:t>
            </w:r>
          </w:p>
        </w:tc>
        <w:tc>
          <w:tcPr>
            <w:tcW w:type="dxa" w:w="3026"/>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Fuente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Prestación contributiva por desempleo (media)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33333"/>
                <w:sz w:val="18"/>
                <w:szCs w:val="18"/>
              </w:rPr>
              <w:t xml:space="preserve">€12.084</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SEPE 2025: media €1.007/mes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Subsidio por desempleo (tras agotar prestación)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33333"/>
                <w:sz w:val="18"/>
                <w:szCs w:val="18"/>
              </w:rPr>
              <w:t xml:space="preserve">€5.760</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SEPE 2026: €480/mes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Gasto sanitario público per cápita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33333"/>
                <w:sz w:val="18"/>
                <w:szCs w:val="18"/>
              </w:rPr>
              <w:t xml:space="preserve">€1.900-2.500</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Presupuestos CCAA 2026 (media nacional)</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Sobrecoste sanitario por enfermedad crónica prevenible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33333"/>
                <w:sz w:val="18"/>
                <w:szCs w:val="18"/>
              </w:rPr>
              <w:t xml:space="preserve">€2.000-5.000</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Sedentarismo (80% población), obesidad (60% adultos)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Coste salud mental asociado a desempleo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33333"/>
                <w:sz w:val="18"/>
                <w:szCs w:val="18"/>
              </w:rPr>
              <w:t xml:space="preserve">€1.500-3.000</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Depresión/ansiedad: ~1% PIB. ROI tratamiento 4:1 (OMS)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Servicios sociales y ayudas complementarias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33333"/>
                <w:sz w:val="18"/>
                <w:szCs w:val="18"/>
              </w:rPr>
              <w:t xml:space="preserve">€1.200-2.400</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Ayudas vivienda, transporte, emergencia social</w:t>
            </w:r>
          </w:p>
        </w:tc>
      </w:tr>
      <w:tr>
        <w:tc>
          <w:tcPr>
            <w:tcW w:type="dxa" w:w="3800"/>
            <w:tcBorders>
              <w:top w:val="single" w:color="CCCCCC" w:sz="1"/>
              <w:left w:val="single" w:color="CCCCCC" w:sz="1"/>
              <w:bottom w:val="single" w:color="CCCCCC" w:sz="1"/>
              <w:right w:val="single" w:color="CCCCCC" w:sz="1"/>
            </w:tcBorders>
            <w:shd w:fill="FFDDD2" w:val="clear"/>
            <w:tcMar>
              <w:top w:type="dxa" w:w="80"/>
              <w:left w:type="dxa" w:w="120"/>
              <w:bottom w:type="dxa" w:w="80"/>
              <w:right w:type="dxa" w:w="120"/>
            </w:tcMar>
          </w:tcPr>
          <w:p>
            <w:pPr>
              <w:jc w:val="left"/>
            </w:pPr>
            <w:r>
              <w:rPr>
                <w:rFonts w:ascii="Arial" w:cs="Arial" w:eastAsia="Arial" w:hAnsi="Arial"/>
                <w:b/>
                <w:bCs/>
                <w:color w:val="333333"/>
                <w:sz w:val="18"/>
                <w:szCs w:val="18"/>
              </w:rPr>
              <w:t xml:space="preserve">COSTE TOTAL ESTIMADO POR PERSONA DESEMPLEADA</w:t>
            </w:r>
          </w:p>
        </w:tc>
        <w:tc>
          <w:tcPr>
            <w:tcW w:type="dxa" w:w="2200"/>
            <w:tcBorders>
              <w:top w:val="single" w:color="CCCCCC" w:sz="1"/>
              <w:left w:val="single" w:color="CCCCCC" w:sz="1"/>
              <w:bottom w:val="single" w:color="CCCCCC" w:sz="1"/>
              <w:right w:val="single" w:color="CCCCCC" w:sz="1"/>
            </w:tcBorders>
            <w:shd w:fill="FFDDD2" w:val="clear"/>
            <w:tcMar>
              <w:top w:type="dxa" w:w="80"/>
              <w:left w:type="dxa" w:w="120"/>
              <w:bottom w:type="dxa" w:w="80"/>
              <w:right w:type="dxa" w:w="120"/>
            </w:tcMar>
          </w:tcPr>
          <w:p>
            <w:pPr>
              <w:jc w:val="center"/>
            </w:pPr>
            <w:r>
              <w:rPr>
                <w:rFonts w:ascii="Arial" w:cs="Arial" w:eastAsia="Arial" w:hAnsi="Arial"/>
                <w:b/>
                <w:bCs/>
                <w:color w:val="993C1D"/>
                <w:sz w:val="18"/>
                <w:szCs w:val="18"/>
              </w:rPr>
              <w:t xml:space="preserve">€18.000-30.000/año</w:t>
            </w:r>
          </w:p>
        </w:tc>
        <w:tc>
          <w:tcPr>
            <w:tcW w:type="dxa" w:w="3026"/>
            <w:tcBorders>
              <w:top w:val="single" w:color="CCCCCC" w:sz="1"/>
              <w:left w:val="single" w:color="CCCCCC" w:sz="1"/>
              <w:bottom w:val="single" w:color="CCCCCC" w:sz="1"/>
              <w:right w:val="single" w:color="CCCCCC" w:sz="1"/>
            </w:tcBorders>
            <w:shd w:fill="FFDDD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Suma de prestaciones + sanidad + salud mental + servicios sociales</w:t>
            </w:r>
          </w:p>
        </w:tc>
      </w:tr>
    </w:tbl>
    <w:p>
      <w:pPr>
        <w:pStyle w:val="Heading2"/>
      </w:pPr>
      <w:r>
        <w:t xml:space="preserve">3.2 Coste de un nodo activo de Micelia para el Estado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2200"/>
        <w:gridCol w:w="3026"/>
      </w:tblGrid>
      <w:tr>
        <w:tc>
          <w:tcPr>
            <w:tcW w:type="dxa" w:w="38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Concepto</w:t>
            </w:r>
          </w:p>
        </w:tc>
        <w:tc>
          <w:tcPr>
            <w:tcW w:type="dxa" w:w="2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Coste anual</w:t>
            </w:r>
          </w:p>
        </w:tc>
        <w:tc>
          <w:tcPr>
            <w:tcW w:type="dxa" w:w="3026"/>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Detalle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Prestación por desempleo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D6A4F"/>
                <w:sz w:val="18"/>
                <w:szCs w:val="18"/>
              </w:rPr>
              <w:t xml:space="preserve">€0</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El nodo produce activamente. No cobra prestación.</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Sobrecoste sanitario por crónicas prevenibles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D6A4F"/>
                <w:sz w:val="18"/>
                <w:szCs w:val="18"/>
              </w:rPr>
              <w:t xml:space="preserve">Reducción 40-70%</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Rutina de ejercicio, nutrición y sueño optimizada diariamente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Coste salud mental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D6A4F"/>
                <w:sz w:val="18"/>
                <w:szCs w:val="18"/>
              </w:rPr>
              <w:t xml:space="preserve">Reducción 50-80%</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Propósito diario + comunidad + logros medibles = prevención</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Servicios sociales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D6A4F"/>
                <w:sz w:val="18"/>
                <w:szCs w:val="18"/>
              </w:rPr>
              <w:t xml:space="preserve">Reducción 60-90%</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El micelio cubre necesidades básicas internamente</w:t>
            </w:r>
          </w:p>
        </w:tc>
      </w:tr>
      <w:tr>
        <w:tc>
          <w:tcPr>
            <w:tcW w:type="dxa" w:w="38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rFonts w:ascii="Arial" w:cs="Arial" w:eastAsia="Arial" w:hAnsi="Arial"/>
                <w:b/>
                <w:bCs/>
                <w:color w:val="333333"/>
                <w:sz w:val="18"/>
                <w:szCs w:val="18"/>
              </w:rPr>
              <w:t xml:space="preserve">AHORRO NETO POR NODO ACTIVO</w:t>
            </w:r>
          </w:p>
        </w:tc>
        <w:tc>
          <w:tcPr>
            <w:tcW w:type="dxa" w:w="22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center"/>
            </w:pPr>
            <w:r>
              <w:rPr>
                <w:rFonts w:ascii="Arial" w:cs="Arial" w:eastAsia="Arial" w:hAnsi="Arial"/>
                <w:b/>
                <w:bCs/>
                <w:color w:val="1B4332"/>
                <w:sz w:val="18"/>
                <w:szCs w:val="18"/>
              </w:rPr>
              <w:t xml:space="preserve">€12.000-24.000/año</w:t>
            </w:r>
          </w:p>
        </w:tc>
        <w:tc>
          <w:tcPr>
            <w:tcW w:type="dxa" w:w="3026"/>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Diferencia entre coste desempleado vs nodo Micelia activo</w:t>
            </w:r>
          </w:p>
        </w:tc>
      </w:tr>
    </w:tbl>
    <w:p>
      <w:pPr>
        <w:pStyle w:val="Heading2"/>
      </w:pPr>
      <w:r>
        <w:t xml:space="preserve">3.3 Impacto a escala: proyección nacional</w:t>
      </w:r>
    </w:p>
    <w:p>
      <w:pPr>
        <w:spacing w:after="160"/>
      </w:pPr>
      <w:r>
        <w:rPr>
          <w:rFonts w:ascii="Arial" w:cs="Arial" w:eastAsia="Arial" w:hAnsi="Arial"/>
          <w:sz w:val="20"/>
          <w:szCs w:val="20"/>
        </w:rPr>
        <w:t xml:space="preserve">España tiene aproximadamente 2,6 millones de desempleados registrados (SEPE, 2026). El presupuesto del SEPE en prestaciones es de 20.877 millones de euros. Si una fracción de estas personas se convirtieran en nodos activos de Micelia: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400"/>
        <w:gridCol w:w="2826"/>
      </w:tblGrid>
      <w:tr>
        <w:tc>
          <w:tcPr>
            <w:tcW w:type="dxa" w:w="20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Nodos activos</w:t>
            </w:r>
          </w:p>
        </w:tc>
        <w:tc>
          <w:tcPr>
            <w:tcW w:type="dxa" w:w="18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Ahorro anual</w:t>
            </w:r>
          </w:p>
        </w:tc>
        <w:tc>
          <w:tcPr>
            <w:tcW w:type="dxa" w:w="24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 del presupuesto SEPE</w:t>
            </w:r>
          </w:p>
        </w:tc>
        <w:tc>
          <w:tcPr>
            <w:tcW w:type="dxa" w:w="2826"/>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Equivalente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1.000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33333"/>
                <w:sz w:val="18"/>
                <w:szCs w:val="18"/>
              </w:rPr>
              <w:t xml:space="preserve">€12-24M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0,06-0,12%</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Piloto regional (Navarra)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10.000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33333"/>
                <w:sz w:val="18"/>
                <w:szCs w:val="18"/>
              </w:rPr>
              <w:t xml:space="preserve">€120-240M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0,6-1,2%</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Despliegue en 3-5 comunidades autónomas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100.000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33333"/>
                <w:sz w:val="18"/>
                <w:szCs w:val="18"/>
              </w:rPr>
              <w:t xml:space="preserve">€1.200-2.400M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6-12%</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Programa nacional</w:t>
            </w:r>
          </w:p>
        </w:tc>
      </w:tr>
      <w:tr>
        <w:tc>
          <w:tcPr>
            <w:tcW w:type="dxa" w:w="2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500.000</w:t>
            </w:r>
          </w:p>
        </w:tc>
        <w:tc>
          <w:tcPr>
            <w:tcW w:type="dxa" w:w="18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center"/>
            </w:pPr>
            <w:r>
              <w:rPr>
                <w:rFonts w:ascii="Arial" w:cs="Arial" w:eastAsia="Arial" w:hAnsi="Arial"/>
                <w:b/>
                <w:bCs/>
                <w:color w:val="1B4332"/>
                <w:sz w:val="18"/>
                <w:szCs w:val="18"/>
              </w:rPr>
              <w:t xml:space="preserve">€6.000-12.000M</w:t>
            </w:r>
          </w:p>
        </w:tc>
        <w:tc>
          <w:tcPr>
            <w:tcW w:type="dxa" w:w="24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center"/>
            </w:pPr>
            <w:r>
              <w:rPr>
                <w:rFonts w:ascii="Arial" w:cs="Arial" w:eastAsia="Arial" w:hAnsi="Arial"/>
                <w:b/>
                <w:bCs/>
                <w:color w:val="1B4332"/>
                <w:sz w:val="18"/>
                <w:szCs w:val="18"/>
              </w:rPr>
              <w:t xml:space="preserve">29-57%</w:t>
            </w:r>
          </w:p>
        </w:tc>
        <w:tc>
          <w:tcPr>
            <w:tcW w:type="dxa" w:w="2826"/>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Transformación del modelo de empleo español</w:t>
            </w:r>
          </w:p>
        </w:tc>
      </w:tr>
    </w:tbl>
    <w:p>
      <w:pPr>
        <w:spacing w:after="40"/>
      </w:pPr>
    </w:p>
    <w:p>
      <w:pPr>
        <w:spacing w:after="160"/>
      </w:pPr>
      <w:r>
        <w:rPr>
          <w:rFonts w:ascii="Arial" w:cs="Arial" w:eastAsia="Arial" w:hAnsi="Arial"/>
          <w:color w:val="666666"/>
          <w:sz w:val="20"/>
          <w:szCs w:val="20"/>
        </w:rPr>
        <w:t xml:space="preserve">Nota: estas cifras son conservadoras. No incluyen el valor de la producción generada por los nodos (código, investigación, contenido, testing), que añade valor al PIB. Solo miden el ahorro en gasto público.</w:t>
      </w:r>
    </w:p>
    <w:p>
      <w:r>
        <w:br w:type="page"/>
      </w:r>
    </w:p>
    <w:p>
      <w:pPr>
        <w:pStyle w:val="Heading1"/>
      </w:pPr>
      <w:r>
        <w:t xml:space="preserve">4. La tesis económica: por qué Micelia es rentable para todos</w:t>
      </w:r>
    </w:p>
    <w:p>
      <w:pPr>
        <w:pStyle w:val="Heading2"/>
      </w:pPr>
      <w:r>
        <w:t xml:space="preserve">4.1 Para el ciudadano</w:t>
      </w:r>
    </w:p>
    <w:p>
      <w:pPr>
        <w:spacing w:after="160"/>
      </w:pPr>
      <w:r>
        <w:rPr>
          <w:rFonts w:ascii="Arial" w:cs="Arial" w:eastAsia="Arial" w:hAnsi="Arial"/>
          <w:sz w:val="20"/>
          <w:szCs w:val="20"/>
        </w:rPr>
        <w:t xml:space="preserve">Suscripción: 19, 49 o 99 euros/mes. Retorno: cobertura de necesidades básicas que cuestan €950-1.500/mes. El ROI para el ciudadano es de 10x-30x desde el primer mes. No porque regalen dinero — porque el sistema convierte su contribución en valor que cubre sus necesidades a través de la red.</w:t>
      </w:r>
    </w:p>
    <w:p>
      <w:pPr>
        <w:pStyle w:val="Heading2"/>
      </w:pPr>
      <w:r>
        <w:t xml:space="preserve">4.2 Para el Estado</w:t>
      </w:r>
    </w:p>
    <w:p>
      <w:pPr>
        <w:spacing w:after="160"/>
      </w:pPr>
      <w:r>
        <w:rPr>
          <w:rFonts w:ascii="Arial" w:cs="Arial" w:eastAsia="Arial" w:hAnsi="Arial"/>
          <w:sz w:val="20"/>
          <w:szCs w:val="20"/>
        </w:rPr>
        <w:t xml:space="preserve">Cada nodo activo ahorra €12.000-24.000/año en prestaciones, sanidad y servicios sociales. A 100.000 nodos, el ahorro supera los 1.200 millones de euros anuales. Además, los nodos producen valor económico real (software, investigación, testing, contenido educativo) que contribuye al PIB.</w:t>
      </w:r>
    </w:p>
    <w:p>
      <w:pPr>
        <w:pStyle w:val="Heading2"/>
      </w:pPr>
      <w:r>
        <w:t xml:space="preserve">4.3 Para la sociedad</w:t>
      </w:r>
    </w:p>
    <w:p>
      <w:pPr>
        <w:spacing w:after="160"/>
      </w:pPr>
      <w:r>
        <w:rPr>
          <w:rFonts w:ascii="Arial" w:cs="Arial" w:eastAsia="Arial" w:hAnsi="Arial"/>
          <w:b/>
          <w:bCs/>
          <w:sz w:val="20"/>
          <w:szCs w:val="20"/>
        </w:rPr>
        <w:t xml:space="preserve">Cuando cada persona actúa como investigador científico en un mundo donde la IA lleva la carga repetitiva, el resultado es progreso continuo con aporte dinámico a la salud y la evolución humana. Esto como valor es más importante que el dinero — es el propósito de una civilización avanzada.</w:t>
      </w:r>
    </w:p>
    <w:p>
      <w:pPr>
        <w:pStyle w:val="Heading2"/>
      </w:pPr>
      <w:r>
        <w:t xml:space="preserve">4.4 El modelo de suscripción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200"/>
        <w:gridCol w:w="3526"/>
      </w:tblGrid>
      <w:tr>
        <w:tc>
          <w:tcPr>
            <w:tcW w:type="dxa" w:w="15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Tier</w:t>
            </w:r>
          </w:p>
        </w:tc>
        <w:tc>
          <w:tcPr>
            <w:tcW w:type="dxa" w:w="18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Precio</w:t>
            </w:r>
          </w:p>
        </w:tc>
        <w:tc>
          <w:tcPr>
            <w:tcW w:type="dxa" w:w="2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Contribución</w:t>
            </w:r>
          </w:p>
        </w:tc>
        <w:tc>
          <w:tcPr>
            <w:tcW w:type="dxa" w:w="3526"/>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Retorno</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 xml:space="preserve">Semilla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€19/mes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Testing, datos, feedback</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Cobertura parcial: formación + servicios digitales + descubrimiento de capacidades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 xml:space="preserve">Activo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€49/mes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Producción con IA, tareas asignadas</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Cobertura de necesidades básicas materiales: alimentación, transporte, formación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 xml:space="preserve">Investigador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€99/mes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Investigación científica + mentorización</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Cobertura completa + acceso a red de investigación + publicación de hallazgos</w:t>
            </w:r>
          </w:p>
        </w:tc>
      </w:tr>
    </w:tbl>
    <w:p>
      <w:r>
        <w:br w:type="page"/>
      </w:r>
    </w:p>
    <w:p>
      <w:pPr>
        <w:pStyle w:val="Heading1"/>
      </w:pPr>
      <w:r>
        <w:t xml:space="preserve">5. El descubrimiento de capacidades: la pieza que nadie tiene</w:t>
      </w:r>
    </w:p>
    <w:p>
      <w:pPr>
        <w:spacing w:after="160"/>
      </w:pPr>
      <w:r>
        <w:rPr>
          <w:rFonts w:ascii="Arial" w:cs="Arial" w:eastAsia="Arial" w:hAnsi="Arial"/>
          <w:sz w:val="20"/>
          <w:szCs w:val="20"/>
        </w:rPr>
        <w:t xml:space="preserve">Muchas veces una persona no tiene objetivos porque nunca tuvo la oportunidad de conocer sus propias capacidades. El sistema educativo tradicional te clasifica a los 16-18 años y te mete en un carril. Micelia hace lo contrario: te expone a tareas diversas, mide tu rendimiento y tu disfrute, y te muestra qué se te da bien y qué te hace feliz. No te asigna un destino — te ayuda a descubrirlo.</w:t>
      </w:r>
    </w:p>
    <w:p>
      <w:pPr>
        <w:spacing w:after="160"/>
      </w:pPr>
      <w:r>
        <w:rPr>
          <w:rFonts w:ascii="Arial" w:cs="Arial" w:eastAsia="Arial" w:hAnsi="Arial"/>
          <w:b/>
          <w:bCs/>
          <w:sz w:val="20"/>
          <w:szCs w:val="20"/>
        </w:rPr>
        <w:t xml:space="preserve">Cuando los objetivos se definen orgánicamente en la red, ocurre algo extraordinario: coinciden con los de otras personas. Esto genera comunidades naturalmente alineadas — personas con los mismos objetivos en un mundo preparado para que los cumplan. No son comunidades artificiales creadas por un algoritmo de recomendación. Son comunidades reales que emergen porque el micelio transporta los nutrientes (conocimiento, oportunidades, conexiones) hacia donde más se necesitan.</w:t>
      </w:r>
    </w:p>
    <w:p>
      <w:pPr>
        <w:pStyle w:val="Heading2"/>
      </w:pPr>
      <w:r>
        <w:t xml:space="preserve">5.1 El flujo de descubrimiento</w:t>
      </w:r>
    </w:p>
    <w:p>
      <w:pPr>
        <w:pStyle w:val="ListParagraph"/>
        <w:numPr>
          <w:ilvl w:val="0"/>
          <w:numId w:val="3"/>
        </w:numPr>
        <w:spacing w:after="160"/>
      </w:pPr>
      <w:r>
        <w:rPr>
          <w:rFonts w:ascii="Arial" w:cs="Arial" w:eastAsia="Arial" w:hAnsi="Arial"/>
          <w:sz w:val="20"/>
          <w:szCs w:val="20"/>
        </w:rPr>
        <w:t xml:space="preserve">1. Entrada: el nodo declara qué sabe y qué necesita. Micelia le asigna tareas de exploración en múltiples verticales.</w:t>
      </w:r>
    </w:p>
    <w:p>
      <w:pPr>
        <w:pStyle w:val="ListParagraph"/>
        <w:numPr>
          <w:ilvl w:val="0"/>
          <w:numId w:val="3"/>
        </w:numPr>
        <w:spacing w:after="160"/>
      </w:pPr>
      <w:r>
        <w:rPr>
          <w:rFonts w:ascii="Arial" w:cs="Arial" w:eastAsia="Arial" w:hAnsi="Arial"/>
          <w:sz w:val="20"/>
          <w:szCs w:val="20"/>
        </w:rPr>
        <w:t xml:space="preserve">2. Exploración: IdeAcursi genera mini-cursos adaptativos para cada vertical. El nodo prueba, el sistema mide rendimiento y satisfacción.</w:t>
      </w:r>
    </w:p>
    <w:p>
      <w:pPr>
        <w:pStyle w:val="ListParagraph"/>
        <w:numPr>
          <w:ilvl w:val="0"/>
          <w:numId w:val="3"/>
        </w:numPr>
        <w:spacing w:after="160"/>
      </w:pPr>
      <w:r>
        <w:rPr>
          <w:rFonts w:ascii="Arial" w:cs="Arial" w:eastAsia="Arial" w:hAnsi="Arial"/>
          <w:sz w:val="20"/>
          <w:szCs w:val="20"/>
        </w:rPr>
        <w:t xml:space="preserve">3. Patrón: la IA detecta en qué verticales el nodo rinde más y reporta mayor bienestar.</w:t>
      </w:r>
    </w:p>
    <w:p>
      <w:pPr>
        <w:pStyle w:val="ListParagraph"/>
        <w:numPr>
          <w:ilvl w:val="0"/>
          <w:numId w:val="3"/>
        </w:numPr>
        <w:spacing w:after="160"/>
      </w:pPr>
      <w:r>
        <w:rPr>
          <w:rFonts w:ascii="Arial" w:cs="Arial" w:eastAsia="Arial" w:hAnsi="Arial"/>
          <w:sz w:val="20"/>
          <w:szCs w:val="20"/>
        </w:rPr>
        <w:t xml:space="preserve">4. Alineación: Micelia conecta al nodo con otros que comparten el mismo patrón. Nace una comunidad natural.</w:t>
      </w:r>
    </w:p>
    <w:p>
      <w:pPr>
        <w:pStyle w:val="ListParagraph"/>
        <w:numPr>
          <w:ilvl w:val="0"/>
          <w:numId w:val="3"/>
        </w:numPr>
        <w:spacing w:after="160"/>
      </w:pPr>
      <w:r>
        <w:rPr>
          <w:rFonts w:ascii="Arial" w:cs="Arial" w:eastAsia="Arial" w:hAnsi="Arial"/>
          <w:sz w:val="20"/>
          <w:szCs w:val="20"/>
        </w:rPr>
        <w:t xml:space="preserve">5. Producción: la comunidad trabaja junta en tareas alineadas con sus capacidades. Felicidad + productividad + progreso.</w:t>
      </w:r>
    </w:p>
    <w:p>
      <w:r>
        <w:br w:type="page"/>
      </w:r>
    </w:p>
    <w:p>
      <w:pPr>
        <w:pStyle w:val="Heading1"/>
      </w:pPr>
      <w:r>
        <w:t xml:space="preserve">6. Propuesta política: la nueva máquina de internet</w:t>
      </w:r>
    </w:p>
    <w:p>
      <w:pPr>
        <w:spacing w:after="160"/>
      </w:pPr>
      <w:r>
        <w:rPr>
          <w:rFonts w:ascii="Arial" w:cs="Arial" w:eastAsia="Arial" w:hAnsi="Arial"/>
          <w:sz w:val="20"/>
          <w:szCs w:val="20"/>
        </w:rPr>
        <w:t xml:space="preserve">Micelia no es un programa social. Es infraestructura económica para la era de la IA. Así como internet transformó la economía en los 90 creando millones de empleos que no existían antes, Micelia transforma la economía del 2026 creando un sistema de producción donde la IA no elimina empleos — libera a las personas para contribuir a un nivel superior.</w:t>
      </w:r>
    </w:p>
    <w:p>
      <w:pPr>
        <w:pStyle w:val="Heading2"/>
      </w:pPr>
      <w:r>
        <w:t xml:space="preserve">6.1 El argumento para cada interlocutor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Interlocutor</w:t>
            </w:r>
          </w:p>
        </w:tc>
        <w:tc>
          <w:tcPr>
            <w:tcW w:type="dxa" w:w="6826"/>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Argumento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 xml:space="preserve">SEPE / FUNDAE</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Plataforma de formación para el desempleo con impacto medible: cada nodo formado es un desempleado menos + ahorro de €12-24K/año. Ex-profesor de Albañiles Digitales con 4 años de experiencia en el sistema.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 xml:space="preserve">Gobierno de Navarra / SODENA</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Proyecto de innovación social nativo de Navarra. Piloto controlable (1.000 nodos). Impacto en desempleo regional + posicionamiento de Navarra como hub de innovación sociolaboral.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 xml:space="preserve">Partidos políticos</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La respuesta al desplazamiento por IA que no es ni UBI (izquierda pasiva) ni desregulación (derecha clásica). Es producción activa con cobertura básica. Transversal políticamente.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 xml:space="preserve">Unión Europea</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Programas como Horizonte Europa y Fondo Social Europeo+ financian exactamente esto: innovación social + empleo digital + formación continua. Micelia encaja en múltiples convocatorias.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 xml:space="preserve">Sector privado</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Red de nodos verificados que pueden completar tareas reales con IA. Coste inferior al outsourcing. Validación objetiva. Las empresas publican tareas, la red las completa.</w:t>
            </w:r>
          </w:p>
        </w:tc>
      </w:tr>
    </w:tbl>
    <w:p>
      <w:pPr>
        <w:pStyle w:val="Heading2"/>
      </w:pPr>
      <w:r>
        <w:t xml:space="preserve">6.2 La frase que lo resume todo</w:t>
      </w:r>
    </w:p>
    <w:p>
      <w:pPr>
        <w:spacing w:after="200" w:before="200"/>
        <w:jc w:val="center"/>
      </w:pPr>
      <w:r>
        <w:rPr>
          <w:rFonts w:ascii="Arial" w:cs="Arial" w:eastAsia="Arial" w:hAnsi="Arial"/>
          <w:i/>
          <w:iCs/>
          <w:color w:val="1B4332"/>
          <w:sz w:val="24"/>
          <w:szCs w:val="24"/>
        </w:rPr>
        <w:t xml:space="preserve">"Con poco dinero del sistema capitalista, entras en un sistema cuántico altruista donde tus acciones buenas se recompensan con interacciones buenas que te llevarán a los objetivos que te marques en conseguir."</w:t>
      </w:r>
    </w:p>
    <w:p>
      <w:pPr>
        <w:spacing w:after="160"/>
      </w:pPr>
      <w:r>
        <w:rPr>
          <w:rFonts w:ascii="Arial" w:cs="Arial" w:eastAsia="Arial" w:hAnsi="Arial"/>
          <w:b/>
          <w:bCs/>
          <w:sz w:val="20"/>
          <w:szCs w:val="20"/>
        </w:rPr>
        <w:t xml:space="preserve">Esto no es utopía. Es la consecuencia lógica de una sociedad donde la IA cubre la carga repetitiva y las personas quedan libres para hacer lo que mejor saben hacer: descubrir, crear, conectar, y cuidarse mutuamente. El micelio biológico lleva 400 millones de años demostrando que este modelo funciona. Micelia lo aplica a la especie humana.</w:t>
      </w:r>
    </w:p>
    <w:p>
      <w:pPr>
        <w:pBdr>
          <w:bottom w:val="single" w:color="2D6A4F" w:sz="4" w:space="1"/>
        </w:pBdr>
        <w:spacing w:after="200" w:before="200"/>
      </w:pPr>
    </w:p>
    <w:p>
      <w:pPr>
        <w:spacing w:before="300"/>
        <w:jc w:val="center"/>
      </w:pPr>
      <w:r>
        <w:rPr>
          <w:rFonts w:ascii="Arial" w:cs="Arial" w:eastAsia="Arial" w:hAnsi="Arial"/>
          <w:b/>
          <w:bCs/>
          <w:color w:val="1B4332"/>
          <w:sz w:val="22"/>
          <w:szCs w:val="22"/>
        </w:rPr>
        <w:t xml:space="preserve">UTOP.IA — El Sistema Operativo para la Vida</w:t>
      </w:r>
    </w:p>
    <w:p>
      <w:pPr>
        <w:spacing w:after="100"/>
        <w:jc w:val="center"/>
      </w:pPr>
      <w:r>
        <w:rPr>
          <w:rFonts w:ascii="Arial" w:cs="Arial" w:eastAsia="Arial" w:hAnsi="Arial"/>
          <w:i/>
          <w:iCs/>
          <w:color w:val="555555"/>
          <w:sz w:val="20"/>
          <w:szCs w:val="20"/>
        </w:rPr>
        <w:t xml:space="preserve">Nodo 1 activo. El micelio ha comenzado.</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4"/>
        <w:szCs w:val="14"/>
      </w:rPr>
      <w:t xml:space="preserve">Página </w:t>
    </w:r>
    <w:r>
      <w:rPr>
        <w:rFonts w:ascii="Arial" w:cs="Arial" w:eastAsia="Arial" w:hAnsi="Arial"/>
        <w:color w:val="99999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1" w:space="1"/>
      </w:pBdr>
      <w:tabs>
        <w:tab w:val="right" w:pos="9026"/>
      </w:tabs>
    </w:pPr>
    <w:r>
      <w:rPr>
        <w:rFonts w:ascii="Arial" w:cs="Arial" w:eastAsia="Arial" w:hAnsi="Arial"/>
        <w:i/>
        <w:iCs/>
        <w:color w:val="999999"/>
        <w:sz w:val="14"/>
        <w:szCs w:val="14"/>
      </w:rPr>
      <w:t xml:space="preserve">MICELIA — Nodo 1 + Impacto Socioeconómico</w:t>
    </w:r>
    <w:r>
      <w:rPr>
        <w:rFonts w:ascii="Arial" w:cs="Arial" w:eastAsia="Arial" w:hAnsi="Arial"/>
        <w:color w:val="999999"/>
        <w:sz w:val="14"/>
        <w:szCs w:val="14"/>
      </w:rPr>
      <w:t xml:space="preserve">	Mayo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332"/>
      <w:sz w:val="34"/>
      <w:szCs w:val="34"/>
    </w:rPr>
  </w:style>
  <w:style w:type="paragraph" w:styleId="Heading2">
    <w:name w:val="Heading 2"/>
    <w:basedOn w:val="Normal"/>
    <w:next w:val="Normal"/>
    <w:qFormat/>
    <w:pPr>
      <w:spacing w:after="160" w:before="240"/>
      <w:outlineLvl w:val="1"/>
    </w:pPr>
    <w:rPr>
      <w:rFonts w:ascii="Arial" w:cs="Arial" w:eastAsia="Arial" w:hAnsi="Arial"/>
      <w:b/>
      <w:bCs/>
      <w:color w:val="2D6A4F"/>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0916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2026-05-21T03:35:13.003Z</dcterms:created>
  <dcterms:modified xsi:type="dcterms:W3CDTF">2026-05-21T03:35:13.003Z</dcterms:modified>
</cp:coreProperties>
</file>

<file path=docProps/custom.xml><?xml version="1.0" encoding="utf-8"?>
<Properties xmlns="http://schemas.openxmlformats.org/officeDocument/2006/custom-properties" xmlns:vt="http://schemas.openxmlformats.org/officeDocument/2006/docPropsVTypes"/>
</file>