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Cofounder Agreement — Finance &amp; Strategy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Document owner</w:t>
            </w:r>
          </w:p>
        </w:tc>
        <w:tc>
          <w:tcPr>
            <w:tcW w:type="dxa" w:w="4320"/>
          </w:tcPr>
          <w:p>
            <w:r>
              <w:rPr>
                <w:b/>
              </w:rPr>
              <w:t>Review date</w:t>
            </w:r>
          </w:p>
        </w:tc>
      </w:tr>
      <w:tr>
        <w:tc>
          <w:tcPr>
            <w:tcW w:type="dxa" w:w="4320"/>
          </w:tcPr>
          <w:p>
            <w:r>
              <w:t>Peter Mbugua (CEO); incoming Finance cofounder on appointment</w:t>
            </w:r>
          </w:p>
        </w:tc>
        <w:tc>
          <w:tcPr>
            <w:tcW w:type="dxa" w:w="4320"/>
          </w:tcPr>
          <w:p>
            <w:r>
              <w:t>2026-09-30</w:t>
            </w:r>
          </w:p>
        </w:tc>
      </w:tr>
    </w:tbl>
    <w:p/>
    <w:p>
      <w:r>
        <w:rPr>
          <w:b/>
        </w:rPr>
        <w:t>BuddyUp Ltd.</w:t>
      </w:r>
      <w:r>
        <w:t xml:space="preserve"> — Founding Team Heads of Terms (pre-shareholders' agreement)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/>
        </w:tc>
        <w:tc>
          <w:tcPr>
            <w:tcW w:type="dxa" w:w="4320"/>
          </w:tcPr>
          <w:p/>
        </w:tc>
      </w:tr>
      <w:tr>
        <w:tc>
          <w:tcPr>
            <w:tcW w:type="dxa" w:w="4320"/>
          </w:tcPr>
          <w:p>
            <w:r>
              <w:t>Candidate</w:t>
            </w:r>
          </w:p>
        </w:tc>
        <w:tc>
          <w:tcPr>
            <w:tcW w:type="dxa" w:w="4320"/>
          </w:tcPr>
          <w:p>
            <w:r>
              <w:t>[Full legal name], ID/Passport No. [●]</w:t>
            </w:r>
          </w:p>
        </w:tc>
      </w:tr>
      <w:tr>
        <w:tc>
          <w:tcPr>
            <w:tcW w:type="dxa" w:w="4320"/>
          </w:tcPr>
          <w:p>
            <w:r>
              <w:t>Role</w:t>
            </w:r>
          </w:p>
        </w:tc>
        <w:tc>
          <w:tcPr>
            <w:tcW w:type="dxa" w:w="4320"/>
          </w:tcPr>
          <w:p>
            <w:r>
              <w:t>Cofounder — Finance, Strategy &amp; Controller</w:t>
            </w:r>
          </w:p>
        </w:tc>
      </w:tr>
      <w:tr>
        <w:tc>
          <w:tcPr>
            <w:tcW w:type="dxa" w:w="4320"/>
          </w:tcPr>
          <w:p>
            <w:r>
              <w:t>Proposed equity</w:t>
            </w:r>
          </w:p>
        </w:tc>
        <w:tc>
          <w:tcPr>
            <w:tcW w:type="dxa" w:w="4320"/>
          </w:tcPr>
          <w:p>
            <w:r>
              <w:rPr>
                <w:b/>
              </w:rPr>
              <w:t>16%</w:t>
            </w:r>
            <w:r>
              <w:t xml:space="preserve"> of fully-diluted share capital at grant, subject to the vesting terms in Annex A</w:t>
            </w:r>
          </w:p>
        </w:tc>
      </w:tr>
      <w:tr>
        <w:tc>
          <w:tcPr>
            <w:tcW w:type="dxa" w:w="4320"/>
          </w:tcPr>
          <w:p>
            <w:r>
              <w:t>Commitment</w:t>
            </w:r>
          </w:p>
        </w:tc>
        <w:tc>
          <w:tcPr>
            <w:tcW w:type="dxa" w:w="4320"/>
          </w:tcPr>
          <w:p>
            <w:r>
              <w:t xml:space="preserve">Part-time — minimum </w:t>
            </w:r>
            <w:r>
              <w:rPr>
                <w:b/>
              </w:rPr>
              <w:t>10 hours per week</w:t>
            </w:r>
            <w:r>
              <w:t xml:space="preserve"> (Clause 4)</w:t>
            </w:r>
          </w:p>
        </w:tc>
      </w:tr>
      <w:tr>
        <w:tc>
          <w:tcPr>
            <w:tcW w:type="dxa" w:w="4320"/>
          </w:tcPr>
          <w:p>
            <w:r>
              <w:t>Vesting</w:t>
            </w:r>
          </w:p>
        </w:tc>
        <w:tc>
          <w:tcPr>
            <w:tcW w:type="dxa" w:w="4320"/>
          </w:tcPr>
          <w:p>
            <w:r>
              <w:t>4 years monthly, 1-year cliff (Annex A)</w:t>
            </w:r>
          </w:p>
        </w:tc>
      </w:tr>
      <w:tr>
        <w:tc>
          <w:tcPr>
            <w:tcW w:type="dxa" w:w="4320"/>
          </w:tcPr>
          <w:p>
            <w:r>
              <w:t>Start date</w:t>
            </w:r>
          </w:p>
        </w:tc>
        <w:tc>
          <w:tcPr>
            <w:tcW w:type="dxa" w:w="4320"/>
          </w:tcPr>
          <w:p>
            <w:r>
              <w:t>[●]</w:t>
            </w:r>
          </w:p>
        </w:tc>
      </w:tr>
      <w:tr>
        <w:tc>
          <w:tcPr>
            <w:tcW w:type="dxa" w:w="4320"/>
          </w:tcPr>
          <w:p>
            <w:r>
              <w:t>Reporting line</w:t>
            </w:r>
          </w:p>
        </w:tc>
        <w:tc>
          <w:tcPr>
            <w:tcW w:type="dxa" w:w="4320"/>
          </w:tcPr>
          <w:p>
            <w:r>
              <w:t>CEO / Board of BuddyUp Ltd.</w:t>
            </w:r>
          </w:p>
        </w:tc>
      </w:tr>
    </w:tbl>
    <w:p/>
    <w:p>
      <w:pPr>
        <w:ind w:left="432"/>
      </w:pPr>
      <w:r>
        <w:rPr>
          <w:b/>
        </w:rPr>
        <w:t>Status:</w:t>
      </w:r>
      <w:r>
        <w:t xml:space="preserve"> This is an invitation to join the founding team and a summary of proposed</w:t>
      </w:r>
    </w:p>
    <w:p>
      <w:pPr>
        <w:ind w:left="432"/>
      </w:pPr>
      <w:r>
        <w:t>terms. It is not a shareholders' agreement, not an employment contract, and not legal</w:t>
      </w:r>
    </w:p>
    <w:p>
      <w:pPr>
        <w:ind w:left="432"/>
      </w:pPr>
      <w:r>
        <w:t>advice. It becomes binding only when superseded by the executed Founders'</w:t>
      </w:r>
    </w:p>
    <w:p>
      <w:pPr>
        <w:ind w:left="432"/>
      </w:pPr>
      <w:r>
        <w:t>Shareholders' Agreement (Kenyan law) that all founders will sign together.</w:t>
      </w:r>
    </w:p>
    <w:p>
      <w:pPr>
        <w:pStyle w:val="Heading2"/>
      </w:pPr>
      <w:r>
        <w:t>Founding team &amp; ownership</w:t>
      </w:r>
      <w:r>
        <w:br/>
      </w:r>
      <w:r>
        <w:t>The founding team holds 80% of BuddyUp Ltd. at incorporation, with a **20%</w:t>
      </w:r>
      <w:r>
        <w:br/>
      </w:r>
      <w:r>
        <w:t>unallocated reserve** for future hires and the option pool. All five founder</w:t>
      </w:r>
      <w:r>
        <w:br/>
      </w:r>
      <w:r>
        <w:t xml:space="preserve">seats hold an </w:t>
      </w:r>
      <w:r>
        <w:rPr>
          <w:b/>
        </w:rPr>
        <w:t>equal 16%</w:t>
      </w:r>
      <w:r>
        <w:t xml:space="preserve"> — the YC-recommended structure — split as follows: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Seat</w:t>
            </w:r>
          </w:p>
        </w:tc>
        <w:tc>
          <w:tcPr>
            <w:tcW w:type="dxa" w:w="2880"/>
          </w:tcPr>
          <w:p>
            <w:r>
              <w:rPr>
                <w:b/>
              </w:rPr>
              <w:t>Holder</w:t>
            </w:r>
          </w:p>
        </w:tc>
        <w:tc>
          <w:tcPr>
            <w:tcW w:type="dxa" w:w="2880"/>
          </w:tcPr>
          <w:p>
            <w:r>
              <w:rPr>
                <w:b/>
              </w:rPr>
              <w:t>Equity</w:t>
            </w:r>
          </w:p>
        </w:tc>
      </w:tr>
      <w:tr>
        <w:tc>
          <w:tcPr>
            <w:tcW w:type="dxa" w:w="2880"/>
          </w:tcPr>
          <w:p>
            <w:r>
              <w:t>Cofounder &amp; CEO — Engineering</w:t>
            </w:r>
          </w:p>
        </w:tc>
        <w:tc>
          <w:tcPr>
            <w:tcW w:type="dxa" w:w="2880"/>
          </w:tcPr>
          <w:p>
            <w:r>
              <w:t>Peter Mbugua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Finance, Strategy &amp; Controller</w:t>
            </w:r>
          </w:p>
        </w:tc>
        <w:tc>
          <w:tcPr>
            <w:tcW w:type="dxa" w:w="2880"/>
          </w:tcPr>
          <w:p>
            <w:r>
              <w:rPr>
                <w:i/>
              </w:rPr>
              <w:t>(this offer — [Full legal name])</w:t>
            </w:r>
          </w:p>
        </w:tc>
        <w:tc>
          <w:tcPr>
            <w:tcW w:type="dxa" w:w="2880"/>
          </w:tcPr>
          <w:p>
            <w:r>
              <w:rPr>
                <w:b/>
              </w:rPr>
              <w:t>16%</w:t>
            </w:r>
          </w:p>
        </w:tc>
      </w:tr>
      <w:tr>
        <w:tc>
          <w:tcPr>
            <w:tcW w:type="dxa" w:w="2880"/>
          </w:tcPr>
          <w:p>
            <w:r>
              <w:t>Cofounder — Marketing, Sales &amp; Partnerships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Security Engineering &amp; Trust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Cofounder — Legal, Compliance &amp; Research</w:t>
            </w:r>
          </w:p>
        </w:tc>
        <w:tc>
          <w:tcPr>
            <w:tcW w:type="dxa" w:w="2880"/>
          </w:tcPr>
          <w:p>
            <w:r>
              <w:t>[●]</w:t>
            </w:r>
          </w:p>
        </w:tc>
        <w:tc>
          <w:tcPr>
            <w:tcW w:type="dxa" w:w="2880"/>
          </w:tcPr>
          <w:p>
            <w:r>
              <w:t>16%</w:t>
            </w:r>
          </w:p>
        </w:tc>
      </w:tr>
      <w:tr>
        <w:tc>
          <w:tcPr>
            <w:tcW w:type="dxa" w:w="2880"/>
          </w:tcPr>
          <w:p>
            <w:r>
              <w:t>Unallocated reserve (future hires / option pool)</w:t>
            </w:r>
          </w:p>
        </w:tc>
        <w:tc>
          <w:tcPr>
            <w:tcW w:type="dxa" w:w="2880"/>
          </w:tcPr>
          <w:p>
            <w:r>
              <w:t>held for unanimous founder decision</w:t>
            </w:r>
          </w:p>
        </w:tc>
        <w:tc>
          <w:tcPr>
            <w:tcW w:type="dxa" w:w="2880"/>
          </w:tcPr>
          <w:p>
            <w:r>
              <w:rPr>
                <w:b/>
              </w:rPr>
              <w:t>20%</w:t>
            </w:r>
          </w:p>
        </w:tc>
      </w:tr>
      <w:tr>
        <w:tc>
          <w:tcPr>
            <w:tcW w:type="dxa" w:w="2880"/>
          </w:tcPr>
          <w:p>
            <w:r>
              <w:rPr>
                <w:b/>
              </w:rPr>
              <w:t>Total</w:t>
            </w:r>
          </w:p>
        </w:tc>
        <w:tc>
          <w:tcPr>
            <w:tcW w:type="dxa" w:w="2880"/>
          </w:tcPr>
          <w:p/>
        </w:tc>
        <w:tc>
          <w:tcPr>
            <w:tcW w:type="dxa" w:w="2880"/>
          </w:tcPr>
          <w:p>
            <w:r>
              <w:rPr>
                <w:b/>
              </w:rPr>
              <w:t>100%</w:t>
            </w:r>
          </w:p>
        </w:tc>
      </w:tr>
    </w:tbl>
    <w:p/>
    <w:p>
      <w:r>
        <w:t xml:space="preserve">The reserve is set at </w:t>
      </w:r>
      <w:r>
        <w:rPr>
          <w:b/>
        </w:rPr>
        <w:t>20%</w:t>
      </w:r>
      <w:r>
        <w:t xml:space="preserve"> — the market range for an early-stage option pool —</w:t>
      </w:r>
    </w:p>
    <w:p>
      <w:r>
        <w:t xml:space="preserve">and is created </w:t>
      </w:r>
      <w:r>
        <w:rPr>
          <w:b/>
        </w:rPr>
        <w:t>at incorporation</w:t>
      </w:r>
      <w:r>
        <w:t xml:space="preserve"> so that future hires and stock options are</w:t>
      </w:r>
    </w:p>
    <w:p>
      <w:r>
        <w:t>funded from the reserve instead of diluting founders later. Any top-up beyond 20%</w:t>
      </w:r>
    </w:p>
    <w:p>
      <w:r>
        <w:t>requires unanimous founder consent (Annex A, clause 5). Equal equity reflects the</w:t>
      </w:r>
    </w:p>
    <w:p>
      <w:r>
        <w:t xml:space="preserve">work done </w:t>
      </w:r>
      <w:r>
        <w:rPr>
          <w:i/>
        </w:rPr>
        <w:t>after</w:t>
      </w:r>
      <w:r>
        <w:t xml:space="preserve"> the start date; the CEO's pre-founding build is acknowledged</w:t>
      </w:r>
    </w:p>
    <w:p>
      <w:r>
        <w:t>through role and casting-vote authority, not extra equity. Percentages above are</w:t>
      </w:r>
    </w:p>
    <w:p>
      <w:r>
        <w:t>indicative pending the Founders' Shareholders' Agreement.</w:t>
      </w:r>
    </w:p>
    <w:p>
      <w:r>
        <w:t>All founder equity vests on identical terms (Annex A). No seat carries special</w:t>
      </w:r>
    </w:p>
    <w:p>
      <w:r>
        <w:t>voting or economic rights beyond the shareholders' agreement.</w:t>
      </w:r>
    </w:p>
    <w:p>
      <w:pPr>
        <w:pStyle w:val="Heading2"/>
      </w:pPr>
      <w:r>
        <w:t>1. Why this seat exists</w:t>
      </w:r>
      <w:r>
        <w:br/>
      </w:r>
      <w:r>
        <w:t xml:space="preserve">BuddyUp is raising </w:t>
      </w:r>
      <w:r>
        <w:rPr>
          <w:b/>
        </w:rPr>
        <w:t>KSh 50 million for an 18-month runway</w:t>
      </w:r>
      <w:r>
        <w:t>, with a conservative model</w:t>
      </w:r>
      <w:r>
        <w:br/>
      </w:r>
      <w:r>
        <w:t>showing ~KSh 41m needed for 24 months before contingency. Money moves through M-PESA and</w:t>
      </w:r>
      <w:r>
        <w:br/>
      </w:r>
      <w:r>
        <w:t>card rails to gyms, coaches and creators; artifacts exist only as non-cash loyalty</w:t>
      </w:r>
      <w:r>
        <w:br/>
      </w:r>
      <w:r>
        <w:t>tokens, deliberately kept away from CBK stored-value territory. The funded plan includes</w:t>
      </w:r>
      <w:r>
        <w:br/>
      </w:r>
      <w:r>
        <w:t>a payment-operations budget and a board-controlled contingency reserve.</w:t>
      </w:r>
      <w:r>
        <w:br/>
      </w:r>
      <w:r>
        <w:t>That plan needs an owner: someone who keeps cash truthful, settlements clean, the model</w:t>
      </w:r>
      <w:r>
        <w:br/>
      </w:r>
      <w:r>
        <w:t>current, and the company fundable.</w:t>
      </w:r>
    </w:p>
    <w:p>
      <w:pPr>
        <w:pStyle w:val="Heading2"/>
      </w:pPr>
      <w:r>
        <w:t>2. Mandate</w:t>
      </w:r>
      <w:r>
        <w:br/>
      </w:r>
      <w:r>
        <w:t>Own everything financial and the strategy cadence around it:</w:t>
      </w:r>
    </w:p>
    <w:p>
      <w:pPr>
        <w:ind w:left="360"/>
      </w:pPr>
      <w:r>
        <w:t xml:space="preserve">1. </w:t>
      </w:r>
      <w:r>
        <w:rPr>
          <w:b/>
        </w:rPr>
        <w:t>Controller duties</w:t>
      </w:r>
    </w:p>
    <w:p>
      <w:pPr>
        <w:pStyle w:val="ListBullet2"/>
      </w:pPr>
      <w:r>
        <w:t>Set up and own the accounting system (Kenyan GAAP/IFRS-SME as advised), monthly</w:t>
      </w:r>
      <w:r>
        <w:br/>
      </w:r>
      <w:r>
        <w:t>close by working day 10, and a single source of truth dashboard: cash, burn,</w:t>
      </w:r>
      <w:r>
        <w:br/>
      </w:r>
      <w:r>
        <w:t>revenue by stream (Partner SaaS / commissions / Plus), receivables.</w:t>
      </w:r>
    </w:p>
    <w:p>
      <w:pPr>
        <w:pStyle w:val="ListBullet2"/>
      </w:pPr>
      <w:r>
        <w:t>Own M-PESA/card reconciliation against platform ledgers with the Security</w:t>
      </w:r>
      <w:r>
        <w:br/>
      </w:r>
      <w:r>
        <w:t>cofounder; every shilling authorised, documented and matched.</w:t>
      </w:r>
    </w:p>
    <w:p>
      <w:pPr>
        <w:pStyle w:val="ListBullet2"/>
      </w:pPr>
      <w:r>
        <w:t>Statutory compliance calendar: KRA filings (VAT/PAYE/corporate), annual returns,</w:t>
      </w:r>
      <w:r>
        <w:br/>
      </w:r>
      <w:r>
        <w:t>audit readiness when required.</w:t>
      </w:r>
    </w:p>
    <w:p>
      <w:pPr>
        <w:ind w:left="360"/>
      </w:pPr>
      <w:r>
        <w:t xml:space="preserve">2. </w:t>
      </w:r>
      <w:r>
        <w:rPr>
          <w:b/>
        </w:rPr>
        <w:t>Refunds, disputes &amp; partner settlement</w:t>
      </w:r>
    </w:p>
    <w:p>
      <w:pPr>
        <w:pStyle w:val="ListBullet2"/>
      </w:pPr>
      <w:r>
        <w:t>Administer the refund/dispute buffer per policy (with Legal); run controlled</w:t>
      </w:r>
      <w:r>
        <w:br/>
      </w:r>
      <w:r>
        <w:t>partner settlement cycles; ensure the company never holds unauthorised customer funds.</w:t>
      </w:r>
    </w:p>
    <w:p>
      <w:pPr>
        <w:ind w:left="360"/>
      </w:pPr>
      <w:r>
        <w:t xml:space="preserve">3. </w:t>
      </w:r>
      <w:r>
        <w:rPr>
          <w:b/>
        </w:rPr>
        <w:t>Planning &amp; runway</w:t>
      </w:r>
    </w:p>
    <w:p>
      <w:pPr>
        <w:pStyle w:val="ListBullet2"/>
      </w:pPr>
      <w:r>
        <w:t>Maintain the bottom-up 24-month operating model; refresh the cash forecast</w:t>
      </w:r>
      <w:r>
        <w:br/>
      </w:r>
      <w:r>
        <w:t>monthly; flag variance &gt;10% to the founders within the same month.</w:t>
      </w:r>
    </w:p>
    <w:p>
      <w:pPr>
        <w:pStyle w:val="ListBullet2"/>
      </w:pPr>
      <w:r>
        <w:t>Administer the board-controlled contingency release process exactly as written</w:t>
      </w:r>
      <w:r>
        <w:br/>
      </w:r>
      <w:r>
        <w:t>in the funding plan — unused contingency stays uncommitted.</w:t>
      </w:r>
    </w:p>
    <w:p>
      <w:pPr>
        <w:ind w:left="360"/>
      </w:pPr>
      <w:r>
        <w:t xml:space="preserve">4. </w:t>
      </w:r>
      <w:r>
        <w:rPr>
          <w:b/>
        </w:rPr>
        <w:t>Fundraising</w:t>
      </w:r>
    </w:p>
    <w:p>
      <w:pPr>
        <w:pStyle w:val="ListBullet2"/>
      </w:pPr>
      <w:r>
        <w:t>Own data-room discipline from day one (cap table, contracts, metrics).</w:t>
      </w:r>
    </w:p>
    <w:p>
      <w:pPr>
        <w:pStyle w:val="ListBullet2"/>
      </w:pPr>
      <w:r>
        <w:t>Co-build seed materials with the CEO; run investor follow-ups and diligence;</w:t>
      </w:r>
      <w:r>
        <w:br/>
      </w:r>
      <w:r>
        <w:t>keep the cap table clean and option-pool maths honest.</w:t>
      </w:r>
    </w:p>
    <w:p>
      <w:pPr>
        <w:ind w:left="360"/>
      </w:pPr>
      <w:r>
        <w:t xml:space="preserve">5. </w:t>
      </w:r>
      <w:r>
        <w:rPr>
          <w:b/>
        </w:rPr>
        <w:t>Strategy cadence</w:t>
      </w:r>
    </w:p>
    <w:p>
      <w:pPr>
        <w:pStyle w:val="ListBullet2"/>
      </w:pPr>
      <w:r>
        <w:t>Run quarterly strategy reviews against the business model doc; keep the KPI tree</w:t>
      </w:r>
      <w:r>
        <w:br/>
      </w:r>
      <w:r>
        <w:t>(activated members → paying partners → revenue) current; kill zombie initiatives</w:t>
      </w:r>
      <w:r>
        <w:br/>
      </w:r>
      <w:r>
        <w:t>in writing.</w:t>
      </w:r>
    </w:p>
    <w:p>
      <w:pPr>
        <w:pStyle w:val="Heading2"/>
      </w:pPr>
      <w:r>
        <w:t>3. Decision rights</w:t>
      </w:r>
    </w:p>
    <w:p>
      <w:pPr>
        <w:pStyle w:val="ListBullet"/>
      </w:pPr>
      <w:r>
        <w:rPr>
          <w:b/>
        </w:rPr>
        <w:t>Owns:</w:t>
      </w:r>
      <w:r>
        <w:t xml:space="preserve"> banking/signatory setup (joint control with CEO above [●] KSh),</w:t>
      </w:r>
      <w:r>
        <w:br/>
      </w:r>
      <w:r>
        <w:t>accounting tooling, bookkeeper/auditor engagement, monthly reporting format.</w:t>
      </w:r>
    </w:p>
    <w:p>
      <w:pPr>
        <w:pStyle w:val="ListBullet"/>
      </w:pPr>
      <w:r>
        <w:rPr>
          <w:b/>
        </w:rPr>
        <w:t>Veto (with written reasons):</w:t>
      </w:r>
      <w:r>
        <w:t xml:space="preserve"> any spend outside the approved plan that reduces</w:t>
      </w:r>
      <w:r>
        <w:br/>
      </w:r>
      <w:r>
        <w:t>runway below 9 months without founder consensus; any payment flow that could be</w:t>
      </w:r>
      <w:r>
        <w:br/>
      </w:r>
      <w:r>
        <w:t>construed as holding customer funds.</w:t>
      </w:r>
    </w:p>
    <w:p>
      <w:pPr>
        <w:pStyle w:val="ListBullet"/>
      </w:pPr>
      <w:r>
        <w:rPr>
          <w:b/>
        </w:rPr>
        <w:t>Joint sign-off (CEO + Finance):</w:t>
      </w:r>
      <w:r>
        <w:t xml:space="preserve"> all contracts &gt;[●] KSh, hiring beyond plan,</w:t>
      </w:r>
      <w:r>
        <w:br/>
      </w:r>
      <w:r>
        <w:t>contingency releases, pricing architecture changes.</w:t>
      </w:r>
    </w:p>
    <w:p>
      <w:pPr>
        <w:pStyle w:val="Heading3"/>
      </w:pPr>
      <w:r>
        <w:t>Deadlocks &amp; the CEO casting vote</w:t>
      </w:r>
      <w:r>
        <w:br/>
      </w:r>
      <w:r>
        <w:t>Each founder decides their own domain (above). For cross-domain or company-level</w:t>
      </w:r>
      <w:r>
        <w:br/>
      </w:r>
      <w:r>
        <w:t>decisions that deadlock after genuine discussion:</w:t>
      </w:r>
    </w:p>
    <w:p>
      <w:pPr>
        <w:ind w:left="360"/>
      </w:pPr>
      <w:r>
        <w:t>1. Each position is written down with reasons and evidence (one page max).</w:t>
      </w:r>
    </w:p>
    <w:p>
      <w:pPr>
        <w:ind w:left="360"/>
      </w:pPr>
      <w:r>
        <w:t>2. A 48-hour cool-off follows; most disagreements dissolve here.</w:t>
      </w:r>
    </w:p>
    <w:p>
      <w:pPr>
        <w:ind w:left="360"/>
      </w:pPr>
      <w:r>
        <w:t xml:space="preserve">3. If not, the </w:t>
      </w:r>
      <w:r>
        <w:rPr>
          <w:b/>
        </w:rPr>
        <w:t>CEO casts the deciding vote</w:t>
      </w:r>
      <w:r>
        <w:t>, with written reasons within five</w:t>
      </w:r>
    </w:p>
    <w:p>
      <w:r>
        <w:t>working days.</w:t>
      </w:r>
    </w:p>
    <w:p>
      <w:pPr>
        <w:ind w:left="360"/>
      </w:pPr>
      <w:r>
        <w:t xml:space="preserve">4. The decision is recorded in writing and everyone </w:t>
      </w:r>
      <w:r>
        <w:rPr>
          <w:b/>
        </w:rPr>
        <w:t>disagrees and commits</w:t>
      </w:r>
      <w:r>
        <w:t xml:space="preserve"> —</w:t>
      </w:r>
    </w:p>
    <w:p>
      <w:r>
        <w:t>no relitigating.</w:t>
      </w:r>
    </w:p>
    <w:p>
      <w:pPr>
        <w:ind w:left="360"/>
      </w:pPr>
      <w:r>
        <w:t>5. The CEO is recused from casting on decisions that directly affect the CEO's</w:t>
      </w:r>
    </w:p>
    <w:p>
      <w:r>
        <w:t>own equity, role or removal.</w:t>
      </w:r>
    </w:p>
    <w:p>
      <w:pPr>
        <w:ind w:left="360"/>
      </w:pPr>
      <w:r>
        <w:t xml:space="preserve">6. </w:t>
      </w:r>
      <w:r>
        <w:rPr>
          <w:b/>
        </w:rPr>
        <w:t>Reserved matters</w:t>
      </w:r>
      <w:r>
        <w:t xml:space="preserve"> are never settled by the casting vote alone — selling or</w:t>
      </w:r>
    </w:p>
    <w:p>
      <w:r>
        <w:t>dissolving the company, removing or adding a cofounder, changing the equity</w:t>
      </w:r>
    </w:p>
    <w:p>
      <w:r>
        <w:t>split, or removing the CEO follow the Founders' Shareholders' Agreement.</w:t>
      </w:r>
    </w:p>
    <w:p>
      <w:r>
        <w:t>Rationale and options analysis: [</w:t>
      </w:r>
      <w:r>
        <w:rPr>
          <w:rFonts w:ascii="Consolas" w:hAnsi="Consolas"/>
        </w:rPr>
        <w:t>README.md</w:t>
      </w:r>
      <w:r>
        <w:t>](README.md) — "Decision-making &amp; the</w:t>
      </w:r>
    </w:p>
    <w:p>
      <w:r>
        <w:t>CEO casting vote". The mechanism becomes binding in the shareholders' agreement.</w:t>
      </w:r>
    </w:p>
    <w:p>
      <w:pPr>
        <w:pStyle w:val="Heading2"/>
      </w:pPr>
      <w:r>
        <w:t>4. Commitment</w:t>
      </w:r>
    </w:p>
    <w:p>
      <w:pPr>
        <w:pStyle w:val="ListBullet"/>
      </w:pPr>
      <w:r>
        <w:rPr>
          <w:b/>
        </w:rPr>
        <w:t>Part-time founding role:</w:t>
      </w:r>
      <w:r>
        <w:t xml:space="preserve"> you commit a minimum of </w:t>
      </w:r>
      <w:r>
        <w:rPr>
          <w:b/>
        </w:rPr>
        <w:t>10 hours per week</w:t>
      </w:r>
      <w:r>
        <w:t xml:space="preserve"> on</w:t>
      </w:r>
      <w:r>
        <w:br/>
      </w:r>
      <w:r>
        <w:t>average, scheduled flexibly around existing commitments. This is a</w:t>
      </w:r>
      <w:r>
        <w:br/>
      </w:r>
      <w:r>
        <w:t>build-the-company seat with real deliverables, not an advisory arrangement.</w:t>
      </w:r>
    </w:p>
    <w:p>
      <w:pPr>
        <w:pStyle w:val="ListBullet"/>
      </w:pPr>
      <w:r>
        <w:t xml:space="preserve">Commitment is measured by </w:t>
      </w:r>
      <w:r>
        <w:rPr>
          <w:b/>
        </w:rPr>
        <w:t>outcomes</w:t>
      </w:r>
      <w:r>
        <w:t xml:space="preserve"> — the mandate in clause 2 and the</w:t>
      </w:r>
      <w:r>
        <w:br/>
      </w:r>
      <w:r>
        <w:t>deliverables in clause 6 — not hours logged. Where a close, filing or</w:t>
      </w:r>
      <w:r>
        <w:br/>
      </w:r>
      <w:r>
        <w:t>negotiation needs a focused push, you make reasonable additional time</w:t>
      </w:r>
      <w:r>
        <w:br/>
      </w:r>
      <w:r>
        <w:t>available by prior agreement.</w:t>
      </w:r>
    </w:p>
    <w:p>
      <w:pPr>
        <w:pStyle w:val="ListBullet"/>
      </w:pPr>
      <w:r>
        <w:t>Commitment level is reviewed together after the foundations period; moving to</w:t>
      </w:r>
      <w:r>
        <w:br/>
      </w:r>
      <w:r>
        <w:t>full-time later is by mutual agreement as the company grows.</w:t>
      </w:r>
    </w:p>
    <w:p>
      <w:pPr>
        <w:pStyle w:val="ListBullet"/>
      </w:pPr>
      <w:r>
        <w:rPr>
          <w:b/>
        </w:rPr>
        <w:t>Foundations period (first 90 days):</w:t>
      </w:r>
      <w:r>
        <w:t xml:space="preserve"> mutual trial. Either side may part ways</w:t>
      </w:r>
      <w:r>
        <w:br/>
      </w:r>
      <w:r>
        <w:t>before day 90 with no vested equity and no ongoing obligations beyond confidentiality.</w:t>
      </w:r>
    </w:p>
    <w:p>
      <w:pPr>
        <w:pStyle w:val="ListBullet"/>
      </w:pPr>
      <w:r>
        <w:t>Directorship is expected once the shareholders' agreement is signed, and only</w:t>
      </w:r>
      <w:r>
        <w:br/>
      </w:r>
      <w:r>
        <w:t>after director protections are in place (D&amp;O insurance and/or an indemnity to</w:t>
      </w:r>
      <w:r>
        <w:br/>
      </w:r>
      <w:r>
        <w:t>the fullest extent permitted by the Companies Act 2015 — clause 8).</w:t>
      </w:r>
    </w:p>
    <w:p>
      <w:pPr>
        <w:pStyle w:val="Heading2"/>
      </w:pPr>
      <w:r>
        <w:t>5. Equity — summary</w:t>
      </w:r>
      <w:r>
        <w:br/>
      </w:r>
      <w:r>
        <w:t xml:space="preserve">Grant of </w:t>
      </w:r>
      <w:r>
        <w:rPr>
          <w:b/>
        </w:rPr>
        <w:t>16%</w:t>
      </w:r>
      <w:r>
        <w:t xml:space="preserve"> fully-diluted at grant — equal across all five founder seats —</w:t>
      </w:r>
      <w:r>
        <w:br/>
      </w:r>
      <w:r>
        <w:t>alongside a 20% unallocated reserve created at incorporation; vesting and leaver</w:t>
      </w:r>
      <w:r>
        <w:br/>
      </w:r>
      <w:r>
        <w:t>terms per Annex A (bad-leaver buy-back at fair market value). Equity subject to</w:t>
      </w:r>
      <w:r>
        <w:br/>
      </w:r>
      <w:r>
        <w:t>IP assignment (clause 7) and execution of the shareholders' agreement.</w:t>
      </w:r>
    </w:p>
    <w:p>
      <w:pPr>
        <w:pStyle w:val="Heading2"/>
      </w:pPr>
      <w:r>
        <w:t>6. First 90 days — success looks like</w:t>
      </w:r>
    </w:p>
    <w:p>
      <w:pPr>
        <w:ind w:left="360"/>
      </w:pPr>
      <w:r>
        <w:t>1. Accounting system live; opening balances reconciled; share register and cap table</w:t>
      </w:r>
    </w:p>
    <w:p>
      <w:r>
        <w:t>verified against filings.</w:t>
      </w:r>
    </w:p>
    <w:p>
      <w:pPr>
        <w:ind w:left="360"/>
      </w:pPr>
      <w:r>
        <w:t>2. Monthly close #1 delivered on time with a one-page burn/variance summary.</w:t>
      </w:r>
    </w:p>
    <w:p>
      <w:pPr>
        <w:ind w:left="360"/>
      </w:pPr>
      <w:r>
        <w:t>3. M-PESA/card-to-ledger reconciliation running with zero unmatched items older than</w:t>
      </w:r>
    </w:p>
    <w:p>
      <w:r>
        <w:t>14 days.</w:t>
      </w:r>
    </w:p>
    <w:p>
      <w:pPr>
        <w:ind w:left="360"/>
      </w:pPr>
      <w:r>
        <w:t>4. Data room v1 complete enough for an investor's first diligence request.</w:t>
      </w:r>
    </w:p>
    <w:p>
      <w:pPr>
        <w:ind w:left="360"/>
      </w:pPr>
      <w:r>
        <w:t>5. Rolling 24-month model refreshed and signed off by all founders; contingency</w:t>
      </w:r>
    </w:p>
    <w:p>
      <w:r>
        <w:t>release protocol documented.</w:t>
      </w:r>
    </w:p>
    <w:p>
      <w:r>
        <w:rPr>
          <w:b/>
        </w:rPr>
        <w:t>How the 90 days are measured — deliberately realistic:</w:t>
      </w:r>
    </w:p>
    <w:p>
      <w:pPr>
        <w:pStyle w:val="ListBullet"/>
      </w:pPr>
      <w:r>
        <w:t>Your obligation is to take each listed action with all reasonable skill and</w:t>
      </w:r>
      <w:r>
        <w:br/>
      </w:r>
      <w:r>
        <w:t>care, keep the founding team informed, and escalate blockers early.</w:t>
      </w:r>
    </w:p>
    <w:p>
      <w:pPr>
        <w:pStyle w:val="ListBullet"/>
      </w:pPr>
      <w:r>
        <w:t>Where a step depends on a third party (KRA, banks, advocates, M-PESA/card</w:t>
      </w:r>
      <w:r>
        <w:br/>
      </w:r>
      <w:r>
        <w:t>providers) and that party's processing exceeds its stated timeline, the</w:t>
      </w:r>
      <w:r>
        <w:br/>
      </w:r>
      <w:r>
        <w:t>deadline extends day-for-day **without the deliverable being treated as</w:t>
      </w:r>
      <w:r>
        <w:br/>
      </w:r>
      <w:r>
        <w:t>failed** — provided you filed or prompted promptly and can evidence it.</w:t>
      </w:r>
    </w:p>
    <w:p>
      <w:pPr>
        <w:pStyle w:val="ListBullet"/>
      </w:pPr>
      <w:r>
        <w:t>At a day-60 checkpoint you and the CEO may re-scope the list by mutual written</w:t>
      </w:r>
      <w:r>
        <w:br/>
      </w:r>
      <w:r>
        <w:t>agreement, without stigma or effect on vesting.</w:t>
      </w:r>
    </w:p>
    <w:p>
      <w:pPr>
        <w:pStyle w:val="ListBullet"/>
      </w:pPr>
      <w:r>
        <w:t>This flexibility does not absolve the obligations: unexplained stalls with no</w:t>
      </w:r>
      <w:r>
        <w:br/>
      </w:r>
      <w:r>
        <w:t>third-party cause remain a legitimate concern under the foundations period.</w:t>
      </w:r>
    </w:p>
    <w:p>
      <w:pPr>
        <w:pStyle w:val="Heading2"/>
      </w:pPr>
      <w:r>
        <w:t>7. IP, confidentiality &amp; declaration of interests</w:t>
      </w:r>
    </w:p>
    <w:p>
      <w:pPr>
        <w:pStyle w:val="ListBullet"/>
      </w:pPr>
      <w:r>
        <w:t>All models, dashboards, playbooks and documents belong to BuddyUp Ltd. from creation.</w:t>
      </w:r>
    </w:p>
    <w:p>
      <w:pPr>
        <w:pStyle w:val="ListBullet"/>
      </w:pPr>
      <w:r>
        <w:t>Financial confidentiality is indefinite and starts now. You will handle inside</w:t>
      </w:r>
      <w:r>
        <w:br/>
      </w:r>
      <w:r>
        <w:t>information (fundraise, metrics); market abuse and insider dealing obligations</w:t>
      </w:r>
      <w:r>
        <w:br/>
      </w:r>
      <w:r>
        <w:t>are taken seriously from day one.</w:t>
      </w:r>
    </w:p>
    <w:p>
      <w:pPr>
        <w:pStyle w:val="ListBullet"/>
      </w:pPr>
      <w:r>
        <w:rPr>
          <w:b/>
        </w:rPr>
        <w:t>Declaration of interests (not a blanket conflicts bar):</w:t>
      </w:r>
    </w:p>
    <w:p>
      <w:pPr>
        <w:pStyle w:val="ListBullet2"/>
      </w:pPr>
      <w:r>
        <w:t>Before signature you complete a written declaration of interests covering</w:t>
      </w:r>
      <w:r>
        <w:br/>
      </w:r>
      <w:r>
        <w:t>current employment, businesses, directorships, significant investments and</w:t>
      </w:r>
      <w:r>
        <w:br/>
      </w:r>
      <w:r>
        <w:t>other commitments. A short template is attached to the shareholders' agreement.</w:t>
      </w:r>
    </w:p>
    <w:p>
      <w:pPr>
        <w:pStyle w:val="ListBullet2"/>
      </w:pPr>
      <w:r>
        <w:t xml:space="preserve">Outside work is </w:t>
      </w:r>
      <w:r>
        <w:rPr>
          <w:b/>
        </w:rPr>
        <w:t>permitted</w:t>
      </w:r>
      <w:r>
        <w:t xml:space="preserve"> and is not, by itself, a conflict. What must be</w:t>
      </w:r>
      <w:r>
        <w:br/>
      </w:r>
      <w:r>
        <w:t>disclosed is anything that could materially impair impartiality, divert</w:t>
      </w:r>
      <w:r>
        <w:br/>
      </w:r>
      <w:r>
        <w:t>BuddyUp's financial or strategic work elsewhere, or place you opposite the</w:t>
      </w:r>
      <w:r>
        <w:br/>
      </w:r>
      <w:r>
        <w:t>company (e.g. acting for a competitor, an investor in dispute with BuddyUp,</w:t>
      </w:r>
      <w:r>
        <w:br/>
      </w:r>
      <w:r>
        <w:t>or a counterparty in a BuddyUp transaction).</w:t>
      </w:r>
    </w:p>
    <w:p>
      <w:pPr>
        <w:pStyle w:val="ListBullet2"/>
      </w:pPr>
      <w:r>
        <w:t>If a declared interest later becomes a genuine conflict in a specific matter,</w:t>
      </w:r>
      <w:r>
        <w:br/>
      </w:r>
      <w:r>
        <w:t>it is managed case by case — recusal, an information barrier, or re-scoping —</w:t>
      </w:r>
      <w:r>
        <w:br/>
      </w:r>
      <w:r>
        <w:t>rather than by prohibiting the outside work.</w:t>
      </w:r>
    </w:p>
    <w:p>
      <w:pPr>
        <w:pStyle w:val="ListBullet2"/>
      </w:pPr>
      <w:r>
        <w:t>The declaration is a living document: refreshed on material change and at</w:t>
      </w:r>
      <w:r>
        <w:br/>
      </w:r>
      <w:r>
        <w:t>least every six months, with the company keeping a simple register.</w:t>
      </w:r>
      <w:r>
        <w:br/>
      </w:r>
      <w:r>
        <w:t>Good-faith disclosure is always safe; only concealment of a known, material</w:t>
      </w:r>
      <w:r>
        <w:br/>
      </w:r>
      <w:r>
        <w:t>interest is a breach.</w:t>
      </w:r>
    </w:p>
    <w:p>
      <w:pPr>
        <w:pStyle w:val="Heading2"/>
      </w:pPr>
      <w:r>
        <w:t>8. Conditions precedent</w:t>
      </w:r>
    </w:p>
    <w:p>
      <w:pPr>
        <w:ind w:left="360"/>
      </w:pPr>
      <w:r>
        <w:t>1. Executed Founders' Shareholders' Agreement (Kenyan advocate drafted).</w:t>
      </w:r>
    </w:p>
    <w:p>
      <w:pPr>
        <w:ind w:left="360"/>
      </w:pPr>
      <w:r>
        <w:t>2. Bank mandate updated; signatory KYC completed.</w:t>
      </w:r>
    </w:p>
    <w:p>
      <w:pPr>
        <w:ind w:left="360"/>
      </w:pPr>
      <w:r>
        <w:t>3. Declaration of interests (clause 7); credit/reference check consent</w:t>
      </w:r>
    </w:p>
    <w:p>
      <w:r>
        <w:t>(standard for the role).</w:t>
      </w:r>
    </w:p>
    <w:p>
      <w:pPr>
        <w:ind w:left="360"/>
      </w:pPr>
      <w:r>
        <w:t>4. Director protections in place: D&amp;O insurance bound (or a written company</w:t>
      </w:r>
    </w:p>
    <w:p>
      <w:r>
        <w:t>indemnity to the fullest extent permitted by the Companies Act 2015),</w:t>
      </w:r>
    </w:p>
    <w:p>
      <w:r>
        <w:t>before board appointment paperwork is filed.</w:t>
      </w:r>
    </w:p>
    <w:p>
      <w:r>
        <w:rPr>
          <w:b/>
        </w:rPr>
        <w:t>External counsel costs.</w:t>
      </w:r>
      <w:r>
        <w:t xml:space="preserve"> The advocate for the Founders' Shareholders'</w:t>
      </w:r>
    </w:p>
    <w:p>
      <w:r>
        <w:t xml:space="preserve">Agreement is jointly retained and instructed by </w:t>
      </w:r>
      <w:r>
        <w:rPr>
          <w:b/>
        </w:rPr>
        <w:t>the company</w:t>
      </w:r>
      <w:r>
        <w:t>, and those fees</w:t>
      </w:r>
    </w:p>
    <w:p>
      <w:r>
        <w:t xml:space="preserve">are an </w:t>
      </w:r>
      <w:r>
        <w:rPr>
          <w:b/>
        </w:rPr>
        <w:t>operational expense of BuddyUp Ltd.</w:t>
      </w:r>
      <w:r>
        <w:t xml:space="preserve"> — not a founder personal cost.</w:t>
      </w:r>
    </w:p>
    <w:p>
      <w:r>
        <w:t>The engagement letter (scope, fee estimate and any cap) will be confirmed in</w:t>
      </w:r>
    </w:p>
    <w:p>
      <w:r>
        <w:t xml:space="preserve">writing and shared with all founders </w:t>
      </w:r>
      <w:r>
        <w:rPr>
          <w:b/>
        </w:rPr>
        <w:t>before</w:t>
      </w:r>
      <w:r>
        <w:t xml:space="preserve"> instruction. Any separate</w:t>
      </w:r>
    </w:p>
    <w:p>
      <w:r>
        <w:t>personal-review advocate a founder chooses to engage for their own side review is</w:t>
      </w:r>
    </w:p>
    <w:p>
      <w:r>
        <w:t>at that founder's own cost.</w:t>
      </w:r>
    </w:p>
    <w:p>
      <w:pPr>
        <w:pStyle w:val="Heading2"/>
      </w:pPr>
      <w:r>
        <w:t>Signatures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For BuddyUp Ltd.</w:t>
            </w:r>
          </w:p>
        </w:tc>
        <w:tc>
          <w:tcPr>
            <w:tcW w:type="dxa" w:w="4320"/>
          </w:tcPr>
          <w:p>
            <w:r>
              <w:rPr>
                <w:b/>
              </w:rPr>
              <w:t>Candidate</w:t>
            </w:r>
          </w:p>
        </w:tc>
      </w:tr>
      <w:tr>
        <w:tc>
          <w:tcPr>
            <w:tcW w:type="dxa" w:w="4320"/>
          </w:tcPr>
          <w:p>
            <w:r>
              <w:t>Name: Peter Mbugua</w:t>
            </w:r>
          </w:p>
        </w:tc>
        <w:tc>
          <w:tcPr>
            <w:tcW w:type="dxa" w:w="4320"/>
          </w:tcPr>
          <w:p>
            <w:r>
              <w:t>Name: [Full legal name]</w:t>
            </w:r>
          </w:p>
        </w:tc>
      </w:tr>
      <w:tr>
        <w:tc>
          <w:tcPr>
            <w:tcW w:type="dxa" w:w="4320"/>
          </w:tcPr>
          <w:p>
            <w:r>
              <w:t>Title: Cofounder &amp; CEO</w:t>
            </w:r>
          </w:p>
        </w:tc>
        <w:tc>
          <w:tcPr>
            <w:tcW w:type="dxa" w:w="4320"/>
          </w:tcPr>
          <w:p>
            <w:r>
              <w:t>ID/Passport: [●]</w:t>
            </w:r>
          </w:p>
        </w:tc>
      </w:tr>
      <w:tr>
        <w:tc>
          <w:tcPr>
            <w:tcW w:type="dxa" w:w="4320"/>
          </w:tcPr>
          <w:p>
            <w:r>
              <w:t>Signature: ________________ Date: ______</w:t>
            </w:r>
          </w:p>
        </w:tc>
        <w:tc>
          <w:tcPr>
            <w:tcW w:type="dxa" w:w="4320"/>
          </w:tcPr>
          <w:p>
            <w:r>
              <w:t>Signature: ________________ Date: ______</w:t>
            </w:r>
          </w:p>
        </w:tc>
      </w:tr>
    </w:tbl>
    <w:p/>
    <w:p>
      <w:pPr>
        <w:pStyle w:val="Heading2"/>
      </w:pPr>
      <w:r>
        <w:t>Annex A — Vesting schedule</w:t>
      </w:r>
      <w:r>
        <w:br/>
      </w:r>
      <w:r>
        <w:rPr>
          <w:i/>
        </w:rPr>
        <w:t>(Identical across all founder agreements.)</w:t>
      </w:r>
    </w:p>
    <w:p>
      <w:pPr>
        <w:ind w:left="360"/>
      </w:pPr>
      <w:r>
        <w:t xml:space="preserve">1. </w:t>
      </w:r>
      <w:r>
        <w:rPr>
          <w:b/>
        </w:rPr>
        <w:t>Grant:</w:t>
      </w:r>
      <w:r>
        <w:t xml:space="preserve"> 16% of the fully-diluted capital of BuddyUp Ltd. as at the start</w:t>
      </w:r>
    </w:p>
    <w:p>
      <w:r>
        <w:t>date, recorded in the share register. Identical for every founder seat.</w:t>
      </w:r>
    </w:p>
    <w:p>
      <w:pPr>
        <w:ind w:left="360"/>
      </w:pPr>
      <w:r>
        <w:t xml:space="preserve">2. </w:t>
      </w:r>
      <w:r>
        <w:rPr>
          <w:b/>
        </w:rPr>
        <w:t>Cliff:</w:t>
      </w:r>
      <w:r>
        <w:t xml:space="preserve"> no shares vest before the 12-month anniversary of the start date.</w:t>
      </w:r>
    </w:p>
    <w:p>
      <w:r>
        <w:t>On passing the cliff, 25% vests retroactively; the remainder vests monthly</w:t>
      </w:r>
    </w:p>
    <w:p>
      <w:r>
        <w:t>over the following 36 months.</w:t>
      </w:r>
    </w:p>
    <w:p>
      <w:pPr>
        <w:ind w:left="360"/>
      </w:pPr>
      <w:r>
        <w:t xml:space="preserve">3. </w:t>
      </w:r>
      <w:r>
        <w:rPr>
          <w:b/>
        </w:rPr>
        <w:t>Leavers:</w:t>
      </w:r>
    </w:p>
    <w:p>
      <w:pPr>
        <w:pStyle w:val="ListBullet2"/>
      </w:pPr>
      <w:r>
        <w:rPr>
          <w:b/>
        </w:rPr>
        <w:t>Good leaver</w:t>
      </w:r>
      <w:r>
        <w:t xml:space="preserve"> — by default, every departure that is not a bad leaver is</w:t>
      </w:r>
      <w:r>
        <w:br/>
      </w:r>
      <w:r>
        <w:t>treated as a good leaver. Explicit examples: death or serious illness,</w:t>
      </w:r>
      <w:r>
        <w:br/>
      </w:r>
      <w:r>
        <w:t>mutual agreement, role eliminated, resignation for good reason (material</w:t>
      </w:r>
      <w:r>
        <w:br/>
      </w:r>
      <w:r>
        <w:t>reduction in agreed role/commitment, unpaid equity terms, or a change the</w:t>
      </w:r>
      <w:r>
        <w:br/>
      </w:r>
      <w:r>
        <w:t>founder did not consent to). Treatment: vested shares retained; unvested</w:t>
      </w:r>
      <w:r>
        <w:br/>
      </w:r>
      <w:r>
        <w:t>cancelled or partly accelerated at board discretion.</w:t>
      </w:r>
    </w:p>
    <w:p>
      <w:pPr>
        <w:pStyle w:val="ListBullet2"/>
      </w:pPr>
      <w:r>
        <w:rPr>
          <w:b/>
        </w:rPr>
        <w:t>Bad leaver</w:t>
      </w:r>
      <w:r>
        <w:t xml:space="preserve"> — only the following, determined by majority of the</w:t>
      </w:r>
      <w:r>
        <w:br/>
      </w:r>
      <w:r>
        <w:t>non-affected founders (or the board where independent):</w:t>
      </w:r>
    </w:p>
    <w:p>
      <w:pPr>
        <w:ind w:left="864"/>
      </w:pPr>
      <w:r>
        <w:t>(a) gross misconduct or fraud;</w:t>
      </w:r>
    </w:p>
    <w:p>
      <w:pPr>
        <w:ind w:left="864"/>
      </w:pPr>
      <w:r>
        <w:t>(b) conviction of an offence involving dishonesty;</w:t>
      </w:r>
    </w:p>
    <w:p>
      <w:pPr>
        <w:ind w:left="864"/>
      </w:pPr>
      <w:r>
        <w:t>(c) material breach of this agreement or the shareholders' agreement</w:t>
      </w:r>
    </w:p>
    <w:p>
      <w:r>
        <w:t>(including concealment of a known, material interest declared under</w:t>
      </w:r>
    </w:p>
    <w:p>
      <w:r>
        <w:t>clause 7, or breach of confidentiality/IP assignment);</w:t>
      </w:r>
    </w:p>
    <w:p>
      <w:pPr>
        <w:ind w:left="864"/>
      </w:pPr>
      <w:r>
        <w:t xml:space="preserve">(d) resignation </w:t>
      </w:r>
      <w:r>
        <w:rPr>
          <w:b/>
        </w:rPr>
        <w:t>without good reason</w:t>
      </w:r>
      <w:r>
        <w:t xml:space="preserve"> within the first 24 months after</w:t>
      </w:r>
    </w:p>
    <w:p>
      <w:r>
        <w:t>the cliff;</w:t>
      </w:r>
    </w:p>
    <w:p>
      <w:pPr>
        <w:ind w:left="864"/>
      </w:pPr>
      <w:r>
        <w:t>(e) persistent failure to meet the agreed commitment after written warning</w:t>
      </w:r>
    </w:p>
    <w:p>
      <w:r>
        <w:t>and a 30-day cure period; or</w:t>
      </w:r>
    </w:p>
    <w:p>
      <w:pPr>
        <w:ind w:left="864"/>
      </w:pPr>
      <w:r>
        <w:t>(f) conduct that seriously damages the company's reputation or regulatory</w:t>
      </w:r>
    </w:p>
    <w:p>
      <w:r>
        <w:t>standing.</w:t>
      </w:r>
    </w:p>
    <w:p>
      <w:r>
        <w:t>Treatment: unvested shares cancel; vested shares are **bought back at fair</w:t>
      </w:r>
    </w:p>
    <w:p>
      <w:r>
        <w:t>market value** — determined by an independent valuator jointly appointed by</w:t>
      </w:r>
    </w:p>
    <w:p>
      <w:r>
        <w:t>the company and the leaver, or, if an arm's-length financing or valuation</w:t>
      </w:r>
    </w:p>
    <w:p>
      <w:r>
        <w:t>occurred within the preceding 12 months, at that round's price per share.</w:t>
      </w:r>
    </w:p>
    <w:p>
      <w:r>
        <w:t>Proceeds are payable within 60 days of the valuation. Anything not listed</w:t>
      </w:r>
    </w:p>
    <w:p>
      <w:r>
        <w:t>above cannot be treated as bad-leaver conduct.</w:t>
      </w:r>
    </w:p>
    <w:p>
      <w:pPr>
        <w:ind w:left="360"/>
      </w:pPr>
      <w:r>
        <w:t xml:space="preserve">4. </w:t>
      </w:r>
      <w:r>
        <w:rPr>
          <w:b/>
        </w:rPr>
        <w:t>Acceleration:</w:t>
      </w:r>
      <w:r>
        <w:t xml:space="preserve"> single-trigger acceleration is not offered; **double-trigger</w:t>
      </w:r>
    </w:p>
    <w:p>
      <w:r>
        <w:t>(change of control + termination without cause, or resignation for good</w:t>
      </w:r>
    </w:p>
    <w:p>
      <w:r>
        <w:t>reason following a change of control) accelerates 100% of unvested shares.**</w:t>
      </w:r>
    </w:p>
    <w:p>
      <w:r>
        <w:t>A change of control alone does not accelerate anything.</w:t>
      </w:r>
    </w:p>
    <w:p>
      <w:pPr>
        <w:ind w:left="360"/>
      </w:pPr>
      <w:r>
        <w:t xml:space="preserve">5. </w:t>
      </w:r>
      <w:r>
        <w:rPr>
          <w:b/>
        </w:rPr>
        <w:t>Dilution:</w:t>
      </w:r>
      <w:r>
        <w:t xml:space="preserve"> a </w:t>
      </w:r>
      <w:r>
        <w:rPr>
          <w:b/>
        </w:rPr>
        <w:t>20% unallocated reserve</w:t>
      </w:r>
      <w:r>
        <w:t xml:space="preserve"> (future hires / option pool) is</w:t>
      </w:r>
    </w:p>
    <w:p>
      <w:r>
        <w:t>created at incorporation, so future option grants are funded from the reserve</w:t>
      </w:r>
    </w:p>
    <w:p>
      <w:r>
        <w:t>rather than by further diluting founders. Future investment rounds dilute all</w:t>
      </w:r>
    </w:p>
    <w:p>
      <w:r>
        <w:t>holders pro rata. Any top-up of the pool beyond 20%, or any pool creation from</w:t>
      </w:r>
    </w:p>
    <w:p>
      <w:r>
        <w:t>founder holdings, requires unanimous founder consent.</w:t>
      </w:r>
    </w:p>
    <w:p>
      <w:pPr>
        <w:ind w:left="360"/>
      </w:pPr>
      <w:r>
        <w:t xml:space="preserve">6. </w:t>
      </w:r>
      <w:r>
        <w:rPr>
          <w:b/>
        </w:rPr>
        <w:t>Lock-in:</w:t>
      </w:r>
      <w:r>
        <w:t xml:space="preserve"> founders may not transfer shares other than per the shareholders'</w:t>
      </w:r>
    </w:p>
    <w:p>
      <w:r>
        <w:t>agreement (pre-emption rights apply).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