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r>
        <w:rPr/>
        <w:t>Cofounder Agreement — Legal &amp; Research</w:t>
      </w:r>
    </w:p>
    <w:tbl>
      <w:tblPr>
        <w:tblStyle w:val="TableGrid"/>
        <w:tblW w:w="864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320"/>
        <w:gridCol w:w="4320"/>
      </w:tblGrid>
      <w:tr>
        <w:trPr/>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kern w:val="0"/>
                <w:sz w:val="22"/>
                <w:szCs w:val="22"/>
                <w:lang w:val="en-US" w:eastAsia="en-US" w:bidi="ar-SA"/>
              </w:rPr>
              <w:t>Document owner</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kern w:val="0"/>
                <w:sz w:val="22"/>
                <w:szCs w:val="22"/>
                <w:lang w:val="en-US" w:eastAsia="en-US" w:bidi="ar-SA"/>
              </w:rPr>
              <w:t>Review date</w:t>
            </w:r>
          </w:p>
        </w:tc>
      </w:tr>
      <w:tr>
        <w:trPr/>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Peter Mbugua (CEO); incoming Legal/Compliance cofounder on appointment</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2026-09-30</w:t>
            </w:r>
          </w:p>
        </w:tc>
      </w:tr>
    </w:tbl>
    <w:p>
      <w:pPr>
        <w:pStyle w:val="Normal"/>
        <w:rPr/>
      </w:pPr>
      <w:r>
        <w:rPr/>
      </w:r>
    </w:p>
    <w:p>
      <w:pPr>
        <w:pStyle w:val="Normal"/>
        <w:rPr/>
      </w:pPr>
      <w:r>
        <w:rPr>
          <w:b/>
        </w:rPr>
        <w:t>BuddyUp Ltd.</w:t>
      </w:r>
      <w:r>
        <w:rPr/>
        <w:t xml:space="preserve"> — Founding Team Heads of Terms (pre-shareholders' agreement)</w:t>
      </w:r>
    </w:p>
    <w:tbl>
      <w:tblPr>
        <w:tblStyle w:val="TableGrid"/>
        <w:tblW w:w="864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320"/>
        <w:gridCol w:w="4320"/>
      </w:tblGrid>
      <w:tr>
        <w:trPr/>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r>
          </w:p>
        </w:tc>
      </w:tr>
      <w:tr>
        <w:trPr/>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Candidate</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[Full legal name], ID/Passport No. [●]</w:t>
            </w:r>
          </w:p>
        </w:tc>
      </w:tr>
      <w:tr>
        <w:trPr/>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Role</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Cofounder — Legal, Compliance &amp; Research</w:t>
            </w:r>
          </w:p>
        </w:tc>
      </w:tr>
      <w:tr>
        <w:trPr/>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Proposed equity</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kern w:val="0"/>
                <w:sz w:val="22"/>
                <w:szCs w:val="22"/>
                <w:lang w:val="en-US" w:eastAsia="en-US" w:bidi="ar-SA"/>
              </w:rPr>
              <w:t>16%</w:t>
            </w:r>
            <w:r>
              <w:rPr>
                <w:rFonts w:eastAsia="ＭＳ 明朝" w:cs=""/>
                <w:kern w:val="0"/>
                <w:sz w:val="22"/>
                <w:szCs w:val="22"/>
                <w:lang w:val="en-US" w:eastAsia="en-US" w:bidi="ar-SA"/>
              </w:rPr>
              <w:t xml:space="preserve"> of fully-diluted share capital at grant, subject to the vesting terms in Annex A</w:t>
            </w:r>
          </w:p>
        </w:tc>
      </w:tr>
      <w:tr>
        <w:trPr/>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Commitment</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 xml:space="preserve">Part-time — minimum </w:t>
            </w:r>
            <w:r>
              <w:rPr>
                <w:rFonts w:eastAsia="ＭＳ 明朝" w:cs=""/>
                <w:b/>
                <w:kern w:val="0"/>
                <w:sz w:val="22"/>
                <w:szCs w:val="22"/>
                <w:lang w:val="en-US" w:eastAsia="en-US" w:bidi="ar-SA"/>
              </w:rPr>
              <w:t>10 hours per week</w:t>
            </w:r>
            <w:r>
              <w:rPr>
                <w:rFonts w:eastAsia="ＭＳ 明朝" w:cs=""/>
                <w:kern w:val="0"/>
                <w:sz w:val="22"/>
                <w:szCs w:val="22"/>
                <w:lang w:val="en-US" w:eastAsia="en-US" w:bidi="ar-SA"/>
              </w:rPr>
              <w:t xml:space="preserve"> (Clause 4)</w:t>
            </w:r>
          </w:p>
        </w:tc>
      </w:tr>
      <w:tr>
        <w:trPr/>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Vesting</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4 years monthly, 1-year cliff (Annex A)</w:t>
            </w:r>
          </w:p>
        </w:tc>
      </w:tr>
      <w:tr>
        <w:trPr/>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Start date</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w:t>
            </w:r>
          </w:p>
        </w:tc>
      </w:tr>
      <w:tr>
        <w:trPr/>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Reporting line</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CEO / Board of BuddyUp Ltd.</w:t>
            </w:r>
          </w:p>
        </w:tc>
      </w:tr>
    </w:tbl>
    <w:p>
      <w:pPr>
        <w:pStyle w:val="Normal"/>
        <w:rPr/>
      </w:pPr>
      <w:r>
        <w:rPr/>
      </w:r>
    </w:p>
    <w:p>
      <w:pPr>
        <w:pStyle w:val="Normal"/>
        <w:ind w:start="432"/>
        <w:rPr/>
      </w:pPr>
      <w:r>
        <w:rPr>
          <w:b/>
        </w:rPr>
        <w:t>Status:</w:t>
      </w:r>
      <w:r>
        <w:rPr/>
        <w:t xml:space="preserve"> This is an invitation to join the founding team and a summary of proposed</w:t>
      </w:r>
    </w:p>
    <w:p>
      <w:pPr>
        <w:pStyle w:val="Normal"/>
        <w:ind w:start="432"/>
        <w:rPr/>
      </w:pPr>
      <w:r>
        <w:rPr/>
        <w:t>terms. It is not a shareholders' agreement, not an employment contract, and not legal</w:t>
      </w:r>
    </w:p>
    <w:p>
      <w:pPr>
        <w:pStyle w:val="Normal"/>
        <w:ind w:start="432"/>
        <w:rPr/>
      </w:pPr>
      <w:r>
        <w:rPr/>
        <w:t>advice. It becomes binding only when superseded by the executed Founders' Shareholders'</w:t>
      </w:r>
    </w:p>
    <w:p>
      <w:pPr>
        <w:pStyle w:val="Normal"/>
        <w:ind w:start="432"/>
        <w:rPr/>
      </w:pPr>
      <w:r>
        <w:rPr/>
        <w:t>Agreement (Kenyan law) that all founders will sign together.</w:t>
      </w:r>
    </w:p>
    <w:p>
      <w:pPr>
        <w:pStyle w:val="Heading2"/>
        <w:rPr/>
      </w:pPr>
      <w:r>
        <w:rPr/>
        <w:t>Founding team &amp; ownership</w:t>
        <w:br/>
        <w:t>The founding team holds 80% of BuddyUp Ltd. at incorporation, with a 20%</w:t>
        <w:br/>
        <w:t>unallocated reserve for future hires and the option pool. All five founder</w:t>
        <w:br/>
        <w:t xml:space="preserve">seats hold an </w:t>
      </w:r>
      <w:r>
        <w:rPr>
          <w:b/>
        </w:rPr>
        <w:t>equal 16%</w:t>
      </w:r>
      <w:r>
        <w:rPr/>
        <w:t xml:space="preserve">  split as follows:</w:t>
      </w:r>
    </w:p>
    <w:tbl>
      <w:tblPr>
        <w:tblStyle w:val="TableGrid"/>
        <w:tblW w:w="864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880"/>
        <w:gridCol w:w="2880"/>
        <w:gridCol w:w="2880"/>
      </w:tblGrid>
      <w:tr>
        <w:trPr/>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kern w:val="0"/>
                <w:sz w:val="22"/>
                <w:szCs w:val="22"/>
                <w:lang w:val="en-US" w:eastAsia="en-US" w:bidi="ar-SA"/>
              </w:rPr>
              <w:t>Seat</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kern w:val="0"/>
                <w:sz w:val="22"/>
                <w:szCs w:val="22"/>
                <w:lang w:val="en-US" w:eastAsia="en-US" w:bidi="ar-SA"/>
              </w:rPr>
              <w:t>Holder</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kern w:val="0"/>
                <w:sz w:val="22"/>
                <w:szCs w:val="22"/>
                <w:lang w:val="en-US" w:eastAsia="en-US" w:bidi="ar-SA"/>
              </w:rPr>
              <w:t>Equity</w:t>
            </w:r>
          </w:p>
        </w:tc>
      </w:tr>
      <w:tr>
        <w:trPr/>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Cofounder &amp; CEO — Engineering</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Peter Mbugua</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kern w:val="0"/>
                <w:sz w:val="22"/>
                <w:szCs w:val="22"/>
                <w:lang w:val="en-US" w:eastAsia="en-US" w:bidi="ar-SA"/>
              </w:rPr>
              <w:t>16%</w:t>
            </w:r>
          </w:p>
        </w:tc>
      </w:tr>
      <w:tr>
        <w:trPr/>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Cofounder — Legal, Compliance &amp; Research</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i/>
                <w:kern w:val="0"/>
                <w:sz w:val="22"/>
                <w:szCs w:val="22"/>
                <w:lang w:val="en-US" w:eastAsia="en-US" w:bidi="ar-SA"/>
              </w:rPr>
              <w:t>(this offer — [Full legal name])</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kern w:val="0"/>
                <w:sz w:val="22"/>
                <w:szCs w:val="22"/>
                <w:lang w:val="en-US" w:eastAsia="en-US" w:bidi="ar-SA"/>
              </w:rPr>
              <w:t>16%</w:t>
            </w:r>
          </w:p>
        </w:tc>
      </w:tr>
      <w:tr>
        <w:trPr/>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Cofounder — Marketing, Sales &amp; Partnerships</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16%</w:t>
            </w:r>
          </w:p>
        </w:tc>
      </w:tr>
      <w:tr>
        <w:trPr/>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Cofounder — Security Engineering &amp; Trust</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16%</w:t>
            </w:r>
          </w:p>
        </w:tc>
      </w:tr>
      <w:tr>
        <w:trPr/>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Cofounder — Finance, Strategy &amp; Controller</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16%</w:t>
            </w:r>
          </w:p>
        </w:tc>
      </w:tr>
      <w:tr>
        <w:trPr/>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Unallocated reserve (future hires / option pool)</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held for unanimous founder decision</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kern w:val="0"/>
                <w:sz w:val="22"/>
                <w:szCs w:val="22"/>
                <w:lang w:val="en-US" w:eastAsia="en-US" w:bidi="ar-SA"/>
              </w:rPr>
              <w:t>20%</w:t>
            </w:r>
          </w:p>
        </w:tc>
      </w:tr>
      <w:tr>
        <w:trPr/>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kern w:val="0"/>
                <w:sz w:val="22"/>
                <w:szCs w:val="22"/>
                <w:lang w:val="en-US" w:eastAsia="en-US" w:bidi="ar-SA"/>
              </w:rPr>
              <w:t>Total</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kern w:val="0"/>
                <w:sz w:val="22"/>
                <w:szCs w:val="22"/>
                <w:lang w:val="en-US" w:eastAsia="en-US" w:bidi="ar-SA"/>
              </w:rPr>
              <w:t>100%</w:t>
            </w:r>
          </w:p>
        </w:tc>
      </w:tr>
    </w:tbl>
    <w:p>
      <w:pPr>
        <w:pStyle w:val="Normal"/>
        <w:rPr/>
      </w:pPr>
      <w:r>
        <w:rPr/>
      </w:r>
    </w:p>
    <w:p>
      <w:pPr>
        <w:pStyle w:val="Normal"/>
        <w:rPr>
          <w:b w:val="false"/>
          <w:bCs w:val="false"/>
          <w:i/>
          <w:iCs/>
        </w:rPr>
      </w:pPr>
      <w:r>
        <w:rPr>
          <w:b w:val="false"/>
          <w:bCs w:val="false"/>
          <w:i/>
          <w:iCs/>
        </w:rPr>
        <w:t>The reserve is set at 20% — the market range for an early-stage option pool — and is created at incorporation so that future hires and stock options are funded from the reserve instead of diluting founders later. Any top-up beyond 20% requires unanimous founder consent (Annex A, clause 5). Equal equity reflects the work done after the start date; the CEO's pre-founding build is acknowledged through role and casting-vote authority, not extra equity. Percentages above are indicative pending the Founders' Shareholders' Agreement. All founder equity vests on identical terms (Annex A). No seat carries special voting or economic rights beyond the shareholders' agreement.</w:t>
      </w:r>
    </w:p>
    <w:p>
      <w:pPr>
        <w:pStyle w:val="Heading2"/>
        <w:rPr/>
      </w:pPr>
      <w:r>
        <w:rPr/>
        <w:t>1. Why this seat exists</w:t>
        <w:br/>
      </w:r>
      <w:r>
        <w:rPr>
          <w:b w:val="false"/>
          <w:bCs w:val="false"/>
          <w:color w:val="000000"/>
        </w:rPr>
        <w:t>BuddyUp operates a fitness platform where the product lines themselves are regulated:</w:t>
      </w:r>
    </w:p>
    <w:p>
      <w:pPr>
        <w:pStyle w:val="Heading2"/>
        <w:numPr>
          <w:ilvl w:val="0"/>
          <w:numId w:val="7"/>
        </w:numPr>
        <w:rPr>
          <w:b w:val="false"/>
          <w:bCs w:val="false"/>
          <w:color w:val="000000"/>
        </w:rPr>
      </w:pPr>
      <w:r>
        <w:rPr>
          <w:b w:val="false"/>
          <w:bCs w:val="false"/>
          <w:color w:val="000000"/>
        </w:rPr>
        <w:t>G</w:t>
      </w:r>
      <w:r>
        <w:rPr>
          <w:b w:val="false"/>
          <w:bCs w:val="false"/>
          <w:color w:val="000000"/>
        </w:rPr>
        <w:t>eneral wellness nutrition vs. Medical Nutrition Therapy (MNT)</w:t>
      </w:r>
    </w:p>
    <w:p>
      <w:pPr>
        <w:pStyle w:val="Heading2"/>
        <w:numPr>
          <w:ilvl w:val="0"/>
          <w:numId w:val="7"/>
        </w:numPr>
        <w:rPr>
          <w:b w:val="false"/>
          <w:bCs w:val="false"/>
          <w:color w:val="000000"/>
        </w:rPr>
      </w:pPr>
      <w:r>
        <w:rPr>
          <w:b w:val="false"/>
          <w:bCs w:val="false"/>
          <w:color w:val="000000"/>
        </w:rPr>
        <w:t>I</w:t>
      </w:r>
      <w:r>
        <w:rPr>
          <w:b w:val="false"/>
          <w:bCs w:val="false"/>
          <w:color w:val="000000"/>
        </w:rPr>
        <w:t>nfluencer gifting disclosure under the Kenya Consumer Protection Act</w:t>
      </w:r>
    </w:p>
    <w:p>
      <w:pPr>
        <w:pStyle w:val="Heading2"/>
        <w:numPr>
          <w:ilvl w:val="0"/>
          <w:numId w:val="7"/>
        </w:numPr>
        <w:rPr>
          <w:b w:val="false"/>
          <w:bCs w:val="false"/>
          <w:color w:val="000000"/>
        </w:rPr>
      </w:pPr>
      <w:r>
        <w:rPr>
          <w:b w:val="false"/>
          <w:bCs w:val="false"/>
          <w:color w:val="000000"/>
        </w:rPr>
        <w:t>PPB rules on supplement claims</w:t>
      </w:r>
    </w:p>
    <w:p>
      <w:pPr>
        <w:pStyle w:val="Heading2"/>
        <w:numPr>
          <w:ilvl w:val="0"/>
          <w:numId w:val="7"/>
        </w:numPr>
        <w:rPr>
          <w:b w:val="false"/>
          <w:bCs w:val="false"/>
          <w:color w:val="000000"/>
        </w:rPr>
      </w:pPr>
      <w:r>
        <w:rPr>
          <w:b w:val="false"/>
          <w:bCs w:val="false"/>
          <w:color w:val="000000"/>
        </w:rPr>
        <w:t>A</w:t>
      </w:r>
      <w:r>
        <w:rPr>
          <w:b w:val="false"/>
          <w:bCs w:val="false"/>
          <w:color w:val="000000"/>
        </w:rPr>
        <w:t>ge-gating for mature content</w:t>
      </w:r>
    </w:p>
    <w:p>
      <w:pPr>
        <w:pStyle w:val="Heading2"/>
        <w:numPr>
          <w:ilvl w:val="0"/>
          <w:numId w:val="7"/>
        </w:numPr>
        <w:rPr>
          <w:b w:val="false"/>
          <w:bCs w:val="false"/>
          <w:color w:val="000000"/>
        </w:rPr>
      </w:pPr>
      <w:r>
        <w:rPr>
          <w:b w:val="false"/>
          <w:bCs w:val="false"/>
          <w:color w:val="000000"/>
        </w:rPr>
        <w:t>D</w:t>
      </w:r>
      <w:r>
        <w:rPr>
          <w:b w:val="false"/>
          <w:bCs w:val="false"/>
          <w:color w:val="000000"/>
        </w:rPr>
        <w:t>ata protection under the Kenya Data Protection Act</w:t>
        <w:br/>
        <w:t>(2019)</w:t>
      </w:r>
    </w:p>
    <w:p>
      <w:pPr>
        <w:pStyle w:val="Heading2"/>
        <w:numPr>
          <w:ilvl w:val="0"/>
          <w:numId w:val="7"/>
        </w:numPr>
        <w:rPr/>
      </w:pPr>
      <w:r>
        <w:rPr>
          <w:b w:val="false"/>
          <w:bCs w:val="false"/>
          <w:color w:val="000000"/>
        </w:rPr>
        <w:t xml:space="preserve"> </w:t>
      </w:r>
      <w:r>
        <w:rPr>
          <w:b w:val="false"/>
          <w:bCs w:val="false"/>
          <w:color w:val="000000"/>
        </w:rPr>
        <w:t>P</w:t>
      </w:r>
      <w:r>
        <w:rPr>
          <w:b w:val="false"/>
          <w:bCs w:val="false"/>
          <w:color w:val="000000"/>
        </w:rPr>
        <w:t>ayment flows that must never look like customer funds or stored value</w:t>
      </w:r>
    </w:p>
    <w:p>
      <w:pPr>
        <w:pStyle w:val="Heading2"/>
        <w:rPr/>
      </w:pPr>
      <w:r>
        <w:rPr>
          <w:b w:val="false"/>
          <w:bCs w:val="false"/>
          <w:color w:val="000000"/>
        </w:rPr>
        <w:t xml:space="preserve">We have done the first research pass (see </w:t>
      </w:r>
      <w:r>
        <w:rPr>
          <w:b w:val="false"/>
          <w:bCs w:val="false"/>
          <w:i/>
          <w:color w:val="000000"/>
        </w:rPr>
        <w:t>BuddyUp Regulated Business Model 2026</w:t>
      </w:r>
      <w:r>
        <w:rPr>
          <w:b w:val="false"/>
          <w:bCs w:val="false"/>
          <w:color w:val="000000"/>
        </w:rPr>
        <w:t>). We need a cofounder whose job is to turn that research into enforceable product decisions — before regulators, app stores or payment providers force the issue.</w:t>
      </w:r>
    </w:p>
    <w:p>
      <w:pPr>
        <w:pStyle w:val="Heading2"/>
        <w:rPr/>
      </w:pPr>
      <w:r>
        <w:rPr/>
        <w:t>2. Mandate</w:t>
        <w:br/>
      </w:r>
      <w:r>
        <w:rPr>
          <w:b w:val="false"/>
          <w:bCs w:val="false"/>
          <w:color w:val="000000"/>
        </w:rPr>
        <w:t>Own everything that keeps BuddyUp lawful, auditable and defensible in Kenya first, with an eye to East African Community and global expansion:</w:t>
      </w:r>
    </w:p>
    <w:p>
      <w:pPr>
        <w:pStyle w:val="Normal"/>
        <w:ind w:start="360"/>
        <w:rPr/>
      </w:pPr>
      <w:r>
        <w:rPr/>
        <w:t xml:space="preserve">1. </w:t>
      </w:r>
      <w:r>
        <w:rPr>
          <w:b/>
        </w:rPr>
        <w:t>Regulatory framework</w:t>
      </w:r>
    </w:p>
    <w:p>
      <w:pPr>
        <w:pStyle w:val="ListBullet2"/>
        <w:numPr>
          <w:ilvl w:val="0"/>
          <w:numId w:val="2"/>
        </w:numPr>
        <w:rPr/>
      </w:pPr>
      <w:r>
        <w:rPr/>
        <w:t>Maintain and enforce the wellness-vs-MNT boundary across coaches, meal plans, programme copy, AI features and marketing.</w:t>
      </w:r>
    </w:p>
    <w:p>
      <w:pPr>
        <w:pStyle w:val="ListBullet2"/>
        <w:numPr>
          <w:ilvl w:val="0"/>
          <w:numId w:val="2"/>
        </w:numPr>
        <w:rPr/>
      </w:pPr>
      <w:r>
        <w:rPr/>
        <w:t>Own the prohibited-wording list, disclaimer templates, scope-of-practice rules and escalation SLAs for health-adjacent content.</w:t>
      </w:r>
    </w:p>
    <w:p>
      <w:pPr>
        <w:pStyle w:val="ListBullet2"/>
        <w:numPr>
          <w:ilvl w:val="0"/>
          <w:numId w:val="2"/>
        </w:numPr>
        <w:rPr/>
      </w:pPr>
      <w:r>
        <w:rPr/>
        <w:t>Run the influencer/gifting disclosure regime: material-connection disclosure standards, audit trails, creator onboarding attestations.</w:t>
      </w:r>
    </w:p>
    <w:p>
      <w:pPr>
        <w:pStyle w:val="Normal"/>
        <w:ind w:start="360"/>
        <w:rPr/>
      </w:pPr>
      <w:r>
        <w:rPr/>
        <w:t xml:space="preserve">2. </w:t>
      </w:r>
      <w:r>
        <w:rPr>
          <w:b/>
        </w:rPr>
        <w:t>Data protection</w:t>
      </w:r>
    </w:p>
    <w:p>
      <w:pPr>
        <w:pStyle w:val="ListBullet2"/>
        <w:numPr>
          <w:ilvl w:val="0"/>
          <w:numId w:val="2"/>
        </w:numPr>
        <w:rPr/>
      </w:pPr>
      <w:r>
        <w:rPr/>
        <w:t>Register BuddyUp Ltd. with the ODPC; own DPIAs for messaging, live video,</w:t>
        <w:br/>
        <w:t>verification documents, location sharing and AI analysis.</w:t>
      </w:r>
    </w:p>
    <w:p>
      <w:pPr>
        <w:pStyle w:val="ListBullet2"/>
        <w:numPr>
          <w:ilvl w:val="0"/>
          <w:numId w:val="2"/>
        </w:numPr>
        <w:rPr/>
      </w:pPr>
      <w:r>
        <w:rPr/>
        <w:t>Own data-subject request handling, retention schedules and breach-notification runbooks (jointly with the Security cofounder).</w:t>
      </w:r>
    </w:p>
    <w:p>
      <w:pPr>
        <w:pStyle w:val="Normal"/>
        <w:ind w:start="360"/>
        <w:rPr/>
      </w:pPr>
      <w:r>
        <w:rPr/>
        <w:t xml:space="preserve">3. </w:t>
      </w:r>
      <w:r>
        <w:rPr>
          <w:b/>
        </w:rPr>
        <w:t>Commercial law</w:t>
      </w:r>
    </w:p>
    <w:p>
      <w:pPr>
        <w:pStyle w:val="ListBullet2"/>
        <w:numPr>
          <w:ilvl w:val="0"/>
          <w:numId w:val="2"/>
        </w:numPr>
        <w:rPr/>
      </w:pPr>
      <w:r>
        <w:rPr/>
        <w:t>Draft/review partner SaaS agreements, coach booking terms, marketplace seller terms, Plus membership T&amp;Cs, privacy policy and acceptable-use policy.</w:t>
      </w:r>
    </w:p>
    <w:p>
      <w:pPr>
        <w:pStyle w:val="ListBullet2"/>
        <w:numPr>
          <w:ilvl w:val="0"/>
          <w:numId w:val="2"/>
        </w:numPr>
        <w:rPr/>
      </w:pPr>
      <w:r>
        <w:rPr/>
        <w:t>Manage the refund/dispute framework with the Finance cofounder so money movement is always authorised and documented.</w:t>
      </w:r>
    </w:p>
    <w:p>
      <w:pPr>
        <w:pStyle w:val="Normal"/>
        <w:ind w:start="360"/>
        <w:rPr/>
      </w:pPr>
      <w:r>
        <w:rPr/>
        <w:t xml:space="preserve">4. </w:t>
      </w:r>
      <w:r>
        <w:rPr>
          <w:b/>
        </w:rPr>
        <w:t>Research</w:t>
      </w:r>
    </w:p>
    <w:p>
      <w:pPr>
        <w:pStyle w:val="ListBullet2"/>
        <w:numPr>
          <w:ilvl w:val="0"/>
          <w:numId w:val="2"/>
        </w:numPr>
        <w:rPr/>
      </w:pPr>
      <w:r>
        <w:rPr/>
        <w:t>Continuously track CAK, ODPC, PPB, CBK and Consumer Protection developments; brief the founding team monthly in writing.</w:t>
      </w:r>
    </w:p>
    <w:p>
      <w:pPr>
        <w:pStyle w:val="ListBullet2"/>
        <w:numPr>
          <w:ilvl w:val="0"/>
          <w:numId w:val="2"/>
        </w:numPr>
        <w:rPr/>
      </w:pPr>
      <w:r>
        <w:rPr/>
        <w:t>Own competitor/jurisdiction research memos that feed strategy decisions.</w:t>
      </w:r>
    </w:p>
    <w:p>
      <w:pPr>
        <w:pStyle w:val="Heading2"/>
        <w:rPr/>
      </w:pPr>
      <w:r>
        <w:rPr/>
        <w:t>3. Decision rights</w:t>
      </w:r>
    </w:p>
    <w:p>
      <w:pPr>
        <w:pStyle w:val="ListBullet"/>
        <w:numPr>
          <w:ilvl w:val="0"/>
          <w:numId w:val="1"/>
        </w:numPr>
        <w:rPr/>
      </w:pPr>
      <w:r>
        <w:rPr>
          <w:b/>
        </w:rPr>
        <w:t>Veto (with reasons, in writing):</w:t>
      </w:r>
      <w:r>
        <w:rPr/>
        <w:t xml:space="preserve"> anything that creates unlicensed regulated</w:t>
        <w:br/>
        <w:t>activity (MNT drift, stored-value artifacts, unlicensed payments custody).</w:t>
      </w:r>
    </w:p>
    <w:p>
      <w:pPr>
        <w:pStyle w:val="ListBullet"/>
        <w:numPr>
          <w:ilvl w:val="0"/>
          <w:numId w:val="1"/>
        </w:numPr>
        <w:rPr/>
      </w:pPr>
      <w:r>
        <w:rPr>
          <w:b/>
        </w:rPr>
        <w:t>Approves:</w:t>
      </w:r>
      <w:r>
        <w:rPr/>
        <w:t xml:space="preserve"> user-facing legal texts, disclosure formats, verification criteria,</w:t>
        <w:br/>
        <w:t>moderation policy baselines.</w:t>
      </w:r>
    </w:p>
    <w:p>
      <w:pPr>
        <w:pStyle w:val="ListBullet"/>
        <w:numPr>
          <w:ilvl w:val="0"/>
          <w:numId w:val="1"/>
        </w:numPr>
        <w:rPr/>
      </w:pPr>
      <w:r>
        <w:rPr>
          <w:b/>
        </w:rPr>
        <w:t>Recommends to board:</w:t>
      </w:r>
      <w:r>
        <w:rPr/>
        <w:t xml:space="preserve"> jurisdiction expansion, insurance, external counsel spend.</w:t>
        <w:br/>
        <w:t xml:space="preserve">You are expected to operate pragmatically: your success metric is a platform that ships fast </w:t>
      </w:r>
      <w:r>
        <w:rPr>
          <w:i/>
        </w:rPr>
        <w:t>and</w:t>
      </w:r>
      <w:r>
        <w:rPr/>
        <w:t xml:space="preserve"> survives scrutiny — not paperwork for its own sake.</w:t>
      </w:r>
    </w:p>
    <w:p>
      <w:pPr>
        <w:pStyle w:val="Heading3"/>
        <w:rPr/>
      </w:pPr>
      <w:r>
        <w:rPr/>
        <w:t>Deadlocks &amp; the CEO casting vote</w:t>
        <w:br/>
      </w:r>
      <w:r>
        <w:rPr>
          <w:color w:val="000000"/>
        </w:rPr>
        <w:t>Each founder decides their own domain (above). For cross-domain or company-level decisions that deadlock after genuine discussion</w:t>
      </w:r>
      <w:r>
        <w:rPr/>
        <w:t>:</w:t>
      </w:r>
    </w:p>
    <w:p>
      <w:pPr>
        <w:pStyle w:val="Normal"/>
        <w:ind w:start="360"/>
        <w:rPr/>
      </w:pPr>
      <w:r>
        <w:rPr/>
        <w:t>1. Each position is written down with reasons and evidence (one page max).</w:t>
      </w:r>
    </w:p>
    <w:p>
      <w:pPr>
        <w:pStyle w:val="Normal"/>
        <w:ind w:start="360"/>
        <w:rPr/>
      </w:pPr>
      <w:r>
        <w:rPr/>
        <w:t>2. A 48-hour cool-off follows; most disagreements dissolve here.</w:t>
      </w:r>
    </w:p>
    <w:p>
      <w:pPr>
        <w:pStyle w:val="Normal"/>
        <w:ind w:start="360"/>
        <w:rPr/>
      </w:pPr>
      <w:r>
        <w:rPr/>
        <w:t xml:space="preserve">3. If not, the </w:t>
      </w:r>
      <w:r>
        <w:rPr>
          <w:b/>
        </w:rPr>
        <w:t>CEO casts the deciding vote</w:t>
      </w:r>
      <w:r>
        <w:rPr/>
        <w:t>, with written reasons within five working days.</w:t>
      </w:r>
    </w:p>
    <w:p>
      <w:pPr>
        <w:pStyle w:val="Normal"/>
        <w:ind w:start="360"/>
        <w:rPr/>
      </w:pPr>
      <w:r>
        <w:rPr/>
        <w:t xml:space="preserve">4. The decision is recorded in writing and everyone </w:t>
      </w:r>
      <w:r>
        <w:rPr>
          <w:b/>
        </w:rPr>
        <w:t>disagrees and commits</w:t>
      </w:r>
      <w:r>
        <w:rPr/>
        <w:t xml:space="preserve"> — no relitigating.</w:t>
      </w:r>
    </w:p>
    <w:p>
      <w:pPr>
        <w:pStyle w:val="Normal"/>
        <w:ind w:start="360"/>
        <w:rPr/>
      </w:pPr>
      <w:r>
        <w:rPr/>
        <w:t>5. The CEO is recused from casting on decisions that directly affect the CEO's own equity, role or removal.</w:t>
      </w:r>
    </w:p>
    <w:p>
      <w:pPr>
        <w:pStyle w:val="Normal"/>
        <w:ind w:start="360"/>
        <w:rPr/>
      </w:pPr>
      <w:r>
        <w:rPr/>
        <w:t xml:space="preserve">6. </w:t>
      </w:r>
      <w:r>
        <w:rPr>
          <w:b/>
        </w:rPr>
        <w:t>Reserved matters</w:t>
      </w:r>
      <w:r>
        <w:rPr/>
        <w:t xml:space="preserve"> are never settled by the casting vote alone — selling or dissolving the company, removing or adding a cofounder, changing the equity split, or removing the CEO follow the Founders' Shareholders' Agreement. Rationale and options analysis:  "Decision-making &amp; the CEO casting vote". The mechanism becomes binding in the shareholders' agreement.</w:t>
      </w:r>
    </w:p>
    <w:p>
      <w:pPr>
        <w:pStyle w:val="Heading2"/>
        <w:rPr/>
      </w:pPr>
      <w:r>
        <w:rPr/>
        <w:t>4. Commitment</w:t>
      </w:r>
    </w:p>
    <w:p>
      <w:pPr>
        <w:pStyle w:val="ListBullet"/>
        <w:numPr>
          <w:ilvl w:val="0"/>
          <w:numId w:val="1"/>
        </w:numPr>
        <w:rPr/>
      </w:pPr>
      <w:r>
        <w:rPr>
          <w:b/>
        </w:rPr>
        <w:t>Part-time founding role:</w:t>
      </w:r>
      <w:r>
        <w:rPr/>
        <w:t xml:space="preserve"> you commit a minimum of </w:t>
      </w:r>
      <w:r>
        <w:rPr>
          <w:b/>
        </w:rPr>
        <w:t>10 hours per week</w:t>
      </w:r>
      <w:r>
        <w:rPr/>
        <w:t xml:space="preserve"> on</w:t>
        <w:br/>
        <w:t>average, scheduled flexibly around your existing commitments. This is a</w:t>
        <w:br/>
        <w:t>build-the-company seat with real deliverables, not an advisory arrangement.</w:t>
      </w:r>
    </w:p>
    <w:p>
      <w:pPr>
        <w:pStyle w:val="ListBullet"/>
        <w:numPr>
          <w:ilvl w:val="0"/>
          <w:numId w:val="1"/>
        </w:numPr>
        <w:rPr/>
      </w:pPr>
      <w:r>
        <w:rPr/>
        <w:t xml:space="preserve">Commitment is measured by </w:t>
      </w:r>
      <w:r>
        <w:rPr>
          <w:b/>
        </w:rPr>
        <w:t>outcomes</w:t>
      </w:r>
      <w:r>
        <w:rPr/>
        <w:t xml:space="preserve"> — the mandate in clause 2 and the</w:t>
        <w:br/>
        <w:t>deliverables in clause 6 — not by hours logged. Where a filing, deadline or</w:t>
        <w:br/>
        <w:t>negotiation needs a focused push, you will make reasonable additional time</w:t>
        <w:br/>
        <w:t>available by prior agreement.</w:t>
      </w:r>
    </w:p>
    <w:p>
      <w:pPr>
        <w:pStyle w:val="ListBullet"/>
        <w:numPr>
          <w:ilvl w:val="0"/>
          <w:numId w:val="1"/>
        </w:numPr>
        <w:rPr/>
      </w:pPr>
      <w:r>
        <w:rPr/>
        <w:t>Commitment level is reviewed together after the foundations period; moving to full-time later is by mutual agreement as the company grows.</w:t>
      </w:r>
    </w:p>
    <w:p>
      <w:pPr>
        <w:pStyle w:val="ListBullet"/>
        <w:numPr>
          <w:ilvl w:val="0"/>
          <w:numId w:val="1"/>
        </w:numPr>
        <w:rPr/>
      </w:pPr>
      <w:r>
        <w:rPr>
          <w:b/>
        </w:rPr>
        <w:t>Foundations period (first 90 days):</w:t>
      </w:r>
      <w:r>
        <w:rPr/>
        <w:t xml:space="preserve"> mutual trial. Either side may part ways</w:t>
        <w:br/>
        <w:t>before day 90 with no vested equity and no ongoing obligations beyond confidentiality.</w:t>
      </w:r>
    </w:p>
    <w:p>
      <w:pPr>
        <w:pStyle w:val="ListBullet"/>
        <w:numPr>
          <w:ilvl w:val="0"/>
          <w:numId w:val="1"/>
        </w:numPr>
        <w:rPr/>
      </w:pPr>
      <w:r>
        <w:rPr/>
        <w:t xml:space="preserve">Directorship of BuddyUp Ltd. is expected once the </w:t>
      </w:r>
      <w:r>
        <w:rPr/>
        <w:t xml:space="preserve">company is registered and </w:t>
      </w:r>
      <w:r>
        <w:rPr/>
        <w:t xml:space="preserve"> shareholders' agreement is signed, and only after the company has put director protections in place (D&amp;O insurance and/or an indemnity to the extent permitted by Kenyan law — see clause 8).</w:t>
      </w:r>
    </w:p>
    <w:p>
      <w:pPr>
        <w:pStyle w:val="Heading2"/>
        <w:rPr/>
      </w:pPr>
      <w:r>
        <w:rPr/>
        <w:t>5. Equity — summary</w:t>
        <w:br/>
        <w:t xml:space="preserve">Full mechanics in </w:t>
      </w:r>
      <w:r>
        <w:rPr>
          <w:b/>
        </w:rPr>
        <w:t>Annex A</w:t>
      </w:r>
      <w:r>
        <w:rPr/>
        <w:t>; headline terms:</w:t>
      </w:r>
    </w:p>
    <w:p>
      <w:pPr>
        <w:pStyle w:val="ListBullet"/>
        <w:numPr>
          <w:ilvl w:val="0"/>
          <w:numId w:val="1"/>
        </w:numPr>
        <w:rPr/>
      </w:pPr>
      <w:r>
        <w:rPr/>
        <w:t xml:space="preserve">Grant: </w:t>
      </w:r>
      <w:r>
        <w:rPr>
          <w:b/>
        </w:rPr>
        <w:t>16%</w:t>
      </w:r>
      <w:r>
        <w:rPr/>
        <w:t xml:space="preserve"> fully-diluted at grant — equal across all five founder seats —</w:t>
        <w:br/>
        <w:t>alongside a 20% unallocated reserve created at incorporation for future hires</w:t>
        <w:br/>
        <w:t>and options.</w:t>
      </w:r>
    </w:p>
    <w:p>
      <w:pPr>
        <w:pStyle w:val="ListBullet"/>
        <w:numPr>
          <w:ilvl w:val="0"/>
          <w:numId w:val="1"/>
        </w:numPr>
        <w:rPr/>
      </w:pPr>
      <w:r>
        <w:rPr/>
        <w:t>4-year vesting, 1-year cliff, monthly thereafter; leaver provisions apply</w:t>
        <w:br/>
        <w:t>(unvested reverts; vested treatment per the good/bad leaver definitions —</w:t>
        <w:br/>
        <w:t>bad-leaver buy-back is at fair market value, Annex A clause 3).</w:t>
      </w:r>
    </w:p>
    <w:p>
      <w:pPr>
        <w:pStyle w:val="ListBullet"/>
        <w:numPr>
          <w:ilvl w:val="0"/>
          <w:numId w:val="1"/>
        </w:numPr>
        <w:rPr/>
      </w:pPr>
      <w:r>
        <w:rPr/>
        <w:t>Standard dilution in future rounds; no anti-dilution for founders.</w:t>
      </w:r>
    </w:p>
    <w:p>
      <w:pPr>
        <w:pStyle w:val="ListBullet"/>
        <w:numPr>
          <w:ilvl w:val="0"/>
          <w:numId w:val="1"/>
        </w:numPr>
        <w:rPr/>
      </w:pPr>
      <w:r>
        <w:rPr/>
        <w:t>Equity is subject to you assigning all work-related IP to the company (clause 7)</w:t>
        <w:br/>
        <w:t>and signing the shareholders' agreement.</w:t>
      </w:r>
    </w:p>
    <w:p>
      <w:pPr>
        <w:pStyle w:val="Heading2"/>
        <w:rPr/>
      </w:pPr>
      <w:r>
        <w:rPr/>
        <w:t xml:space="preserve">6. First 90 days — success looks like </w:t>
      </w:r>
      <w:r>
        <w:rPr/>
        <w:t>soon as funding is secured/the company is registered</w:t>
      </w:r>
    </w:p>
    <w:p>
      <w:pPr>
        <w:pStyle w:val="Normal"/>
        <w:ind w:start="360"/>
        <w:rPr/>
      </w:pPr>
      <w:r>
        <w:rPr/>
        <w:t xml:space="preserve">1. ODPC registration </w:t>
      </w:r>
      <w:r>
        <w:rPr>
          <w:b/>
        </w:rPr>
        <w:t>prepared and filed</w:t>
      </w:r>
      <w:r>
        <w:rPr/>
        <w:t>, with the acknowledgment shared; the DPA compliance gap-list signed off by the team. (Processing time sits with the ODPC — delivery means filed and acknowledged, not registered.)</w:t>
      </w:r>
    </w:p>
    <w:p>
      <w:pPr>
        <w:pStyle w:val="Normal"/>
        <w:ind w:start="360"/>
        <w:rPr/>
      </w:pPr>
      <w:r>
        <w:rPr/>
        <w:t>2. Wellness-vs-MNT content rules implemented in the actual product copy flow (working sessions with engineering, not a memo).</w:t>
      </w:r>
    </w:p>
    <w:p>
      <w:pPr>
        <w:pStyle w:val="Normal"/>
        <w:ind w:start="360"/>
        <w:rPr/>
      </w:pPr>
      <w:r>
        <w:rPr/>
        <w:t>3. Gifting/disclosure policy shipped to the first cohort of creators.</w:t>
      </w:r>
    </w:p>
    <w:p>
      <w:pPr>
        <w:pStyle w:val="Normal"/>
        <w:ind w:start="360"/>
        <w:rPr/>
      </w:pPr>
      <w:r>
        <w:rPr/>
        <w:t>4. Partner agreement template v1 in use by the Marketing &amp; Sales cofounder's first design partners.</w:t>
      </w:r>
    </w:p>
    <w:p>
      <w:pPr>
        <w:pStyle w:val="Normal"/>
        <w:ind w:start="360"/>
        <w:rPr/>
      </w:pPr>
      <w:r>
        <w:rPr/>
        <w:t>5. Monthly regulatory brief #1 delivered.</w:t>
      </w:r>
    </w:p>
    <w:p>
      <w:pPr>
        <w:pStyle w:val="Normal"/>
        <w:rPr/>
      </w:pPr>
      <w:r>
        <w:rPr>
          <w:b/>
        </w:rPr>
        <w:t>How the 90 days are measured — deliberately realistic:</w:t>
      </w:r>
    </w:p>
    <w:p>
      <w:pPr>
        <w:pStyle w:val="ListBullet"/>
        <w:numPr>
          <w:ilvl w:val="0"/>
          <w:numId w:val="1"/>
        </w:numPr>
        <w:rPr/>
      </w:pPr>
      <w:r>
        <w:rPr/>
        <w:t>Your obligation is to take each listed action with all reasonable skill and</w:t>
        <w:br/>
        <w:t>care, keep the founding team informed of progress, and escalate blockers early.</w:t>
      </w:r>
    </w:p>
    <w:p>
      <w:pPr>
        <w:pStyle w:val="ListBullet"/>
        <w:numPr>
          <w:ilvl w:val="0"/>
          <w:numId w:val="1"/>
        </w:numPr>
        <w:rPr/>
      </w:pPr>
      <w:r>
        <w:rPr/>
        <w:t xml:space="preserve">Where a step depends on a third party (BRS, ODPC, advocates, payment providers) and that party's processing exceeds its stated timeline, the deadline extends day-for-day </w:t>
      </w:r>
      <w:r>
        <w:rPr>
          <w:b/>
        </w:rPr>
        <w:t>without the deliverable being treated as failed</w:t>
      </w:r>
      <w:r>
        <w:rPr/>
        <w:t xml:space="preserve"> — provided you filed or prompted promptly and can evidence it. (Example: BRS name approval running two-plus weeks against a three-day SLA is a regulator delay, not a founder miss.)</w:t>
      </w:r>
    </w:p>
    <w:p>
      <w:pPr>
        <w:pStyle w:val="ListBullet"/>
        <w:numPr>
          <w:ilvl w:val="0"/>
          <w:numId w:val="1"/>
        </w:numPr>
        <w:rPr/>
      </w:pPr>
      <w:r>
        <w:rPr/>
        <w:t>At a day-60 checkpoint you and the CEO may re-scope the list by mutual written agreement — e.g. swapping a blocked item for an equivalent — without any stigma or effect on vesting.</w:t>
      </w:r>
    </w:p>
    <w:p>
      <w:pPr>
        <w:pStyle w:val="ListBullet"/>
        <w:numPr>
          <w:ilvl w:val="0"/>
          <w:numId w:val="1"/>
        </w:numPr>
        <w:rPr/>
      </w:pPr>
      <w:r>
        <w:rPr/>
        <w:t>This flexibility does not absolve the obligations: unexplained stalls with no</w:t>
        <w:br/>
        <w:t>third-party cause remain a legitimate concern under the foundations period.</w:t>
      </w:r>
    </w:p>
    <w:p>
      <w:pPr>
        <w:pStyle w:val="Heading2"/>
        <w:rPr/>
      </w:pPr>
      <w:r>
        <w:rPr/>
        <w:t>7. IP, confidentiality &amp; declaration of interests</w:t>
      </w:r>
    </w:p>
    <w:p>
      <w:pPr>
        <w:pStyle w:val="ListBullet"/>
        <w:numPr>
          <w:ilvl w:val="0"/>
          <w:numId w:val="1"/>
        </w:numPr>
        <w:rPr/>
      </w:pPr>
      <w:r>
        <w:rPr/>
        <w:t>You assign to BuddyUp Ltd. all right, title and interest in work product created</w:t>
        <w:br/>
        <w:t>in the course of the engagement, effective from the start date.</w:t>
      </w:r>
    </w:p>
    <w:p>
      <w:pPr>
        <w:pStyle w:val="ListBullet"/>
        <w:numPr>
          <w:ilvl w:val="0"/>
          <w:numId w:val="1"/>
        </w:numPr>
        <w:rPr/>
      </w:pPr>
      <w:r>
        <w:rPr/>
        <w:t>All company information is confidential indefinitely; this obligation begins now, including pre-signature discussions.</w:t>
      </w:r>
    </w:p>
    <w:p>
      <w:pPr>
        <w:pStyle w:val="ListBullet"/>
        <w:numPr>
          <w:ilvl w:val="0"/>
          <w:numId w:val="1"/>
        </w:numPr>
        <w:rPr/>
      </w:pPr>
      <w:r>
        <w:rPr>
          <w:b/>
        </w:rPr>
        <w:t>Declaration of interests (not a blanket conflicts bar):</w:t>
      </w:r>
    </w:p>
    <w:p>
      <w:pPr>
        <w:pStyle w:val="ListBullet2"/>
        <w:numPr>
          <w:ilvl w:val="0"/>
          <w:numId w:val="2"/>
        </w:numPr>
        <w:rPr/>
      </w:pPr>
      <w:r>
        <w:rPr/>
        <w:t>Before signature you complete a written declaration of interests covering</w:t>
        <w:br/>
        <w:t>current employment, businesses, directorships, significant investments and</w:t>
        <w:br/>
        <w:t>other commitments. A short template is attached to the shareholders' agreement.</w:t>
      </w:r>
    </w:p>
    <w:p>
      <w:pPr>
        <w:pStyle w:val="ListBullet2"/>
        <w:numPr>
          <w:ilvl w:val="0"/>
          <w:numId w:val="2"/>
        </w:numPr>
        <w:rPr/>
      </w:pPr>
      <w:r>
        <w:rPr/>
        <w:t xml:space="preserve">Outside work is </w:t>
      </w:r>
      <w:r>
        <w:rPr>
          <w:b/>
        </w:rPr>
        <w:t>permitted</w:t>
      </w:r>
      <w:r>
        <w:rPr/>
        <w:t xml:space="preserve"> and is not, by itself, a conflict. What must be</w:t>
        <w:br/>
        <w:t>disclosed is anything that could materially impair your impartiality, divert</w:t>
        <w:br/>
        <w:t>regulated or legal work away from BuddyUp, or place you opposite the company (e.g. acting for a direct competitor, a regulator counterpart in a BuddyUp matter, or a party in dispute with BuddyUp).</w:t>
      </w:r>
    </w:p>
    <w:p>
      <w:pPr>
        <w:pStyle w:val="ListBullet2"/>
        <w:numPr>
          <w:ilvl w:val="0"/>
          <w:numId w:val="2"/>
        </w:numPr>
        <w:rPr/>
      </w:pPr>
      <w:r>
        <w:rPr/>
        <w:t>If a declared interest later becomes a genuine conflict in a specific matter,</w:t>
        <w:br/>
        <w:t>it is managed case by case — recusal, an information barrier, or re-scoping — rather than by prohibiting the outside work.</w:t>
      </w:r>
    </w:p>
    <w:p>
      <w:pPr>
        <w:pStyle w:val="ListBullet2"/>
        <w:numPr>
          <w:ilvl w:val="0"/>
          <w:numId w:val="2"/>
        </w:numPr>
        <w:rPr/>
      </w:pPr>
      <w:r>
        <w:rPr/>
        <w:t>The declaration is a living document: you refresh it whenever a material</w:t>
        <w:br/>
        <w:t>change occurs and at least every six months, and the company maintains a</w:t>
        <w:br/>
        <w:t>simple register. Good-faith disclosure is always safe; only concealment of a</w:t>
        <w:br/>
        <w:t>known, material interest is a breach.</w:t>
      </w:r>
    </w:p>
    <w:p>
      <w:pPr>
        <w:pStyle w:val="Heading2"/>
        <w:rPr/>
      </w:pPr>
      <w:r>
        <w:rPr/>
        <w:t>8. Conditions precedent</w:t>
        <w:br/>
      </w:r>
      <w:r>
        <w:rPr>
          <w:color w:val="000000"/>
        </w:rPr>
        <w:t>Signature of these heads of terms starts the relationship on trust; the following must complete within 60 days:</w:t>
      </w:r>
    </w:p>
    <w:p>
      <w:pPr>
        <w:pStyle w:val="Normal"/>
        <w:ind w:start="360"/>
        <w:rPr/>
      </w:pPr>
      <w:r>
        <w:rPr/>
        <w:t>1. Executed Founders' Shareholders' Agreement (Kenyan advocate drafted).</w:t>
      </w:r>
    </w:p>
    <w:p>
      <w:pPr>
        <w:pStyle w:val="Normal"/>
        <w:ind w:start="360"/>
        <w:rPr/>
      </w:pPr>
      <w:r>
        <w:rPr/>
        <w:t xml:space="preserve">2. Board appointment paperwork filed with the Registrar of Companies, </w:t>
      </w:r>
      <w:r>
        <w:rPr>
          <w:b/>
        </w:rPr>
        <w:t xml:space="preserve">after </w:t>
      </w:r>
      <w:r>
        <w:rPr/>
        <w:t>director protections are in place (item 4).</w:t>
      </w:r>
    </w:p>
    <w:p>
      <w:pPr>
        <w:pStyle w:val="Normal"/>
        <w:ind w:start="360"/>
        <w:rPr/>
      </w:pPr>
      <w:r>
        <w:rPr/>
        <w:t>3. Declaration of interests + right-to-work confirmation (clause 7).</w:t>
      </w:r>
    </w:p>
    <w:p>
      <w:pPr>
        <w:pStyle w:val="Normal"/>
        <w:ind w:start="360"/>
        <w:rPr/>
      </w:pPr>
      <w:r>
        <w:rPr/>
        <w:t>4. Director protections in place: D&amp;O insurance bound (or a written company indemnity to the fullest extent permitted by the Companies Act 2015), covering the regulatory exposure that attaches to directorship of a platform handling payments, health content and personal data.</w:t>
      </w:r>
    </w:p>
    <w:p>
      <w:pPr>
        <w:pStyle w:val="Normal"/>
        <w:rPr/>
      </w:pPr>
      <w:r>
        <w:rPr>
          <w:b/>
        </w:rPr>
        <w:t>External counsel costs.</w:t>
      </w:r>
      <w:r>
        <w:rPr/>
        <w:t xml:space="preserve"> The advocate for the Founders' Shareholders' Agreement is jointly retained and instructed by </w:t>
      </w:r>
      <w:r>
        <w:rPr>
          <w:b/>
        </w:rPr>
        <w:t>the company</w:t>
      </w:r>
      <w:r>
        <w:rPr/>
        <w:t xml:space="preserve">, and those fees are an </w:t>
      </w:r>
      <w:r>
        <w:rPr>
          <w:b/>
        </w:rPr>
        <w:t>operational expense of BuddyUp Ltd.</w:t>
      </w:r>
      <w:r>
        <w:rPr/>
        <w:t xml:space="preserve"> — not a founder personal cost. The engagement letter (scope, fee estimate and any cap) will be confirmed in writing and shared with all founders </w:t>
      </w:r>
      <w:r>
        <w:rPr>
          <w:b/>
        </w:rPr>
        <w:t>before</w:t>
      </w:r>
      <w:r>
        <w:rPr/>
        <w:t xml:space="preserve"> instruction. Any separate personal-review advocate a founder chooses to engage for their own side review is at that founder's own cost.</w:t>
      </w:r>
    </w:p>
    <w:p>
      <w:pPr>
        <w:pStyle w:val="Heading2"/>
        <w:rPr/>
      </w:pPr>
      <w:r>
        <w:rPr/>
        <w:t>Signatures</w:t>
      </w:r>
    </w:p>
    <w:tbl>
      <w:tblPr>
        <w:tblStyle w:val="TableGrid"/>
        <w:tblW w:w="864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320"/>
        <w:gridCol w:w="4320"/>
      </w:tblGrid>
      <w:tr>
        <w:trPr/>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kern w:val="0"/>
                <w:sz w:val="22"/>
                <w:szCs w:val="22"/>
                <w:lang w:val="en-US" w:eastAsia="en-US" w:bidi="ar-SA"/>
              </w:rPr>
              <w:t>For BuddyUp Ltd.</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kern w:val="0"/>
                <w:sz w:val="22"/>
                <w:szCs w:val="22"/>
                <w:lang w:val="en-US" w:eastAsia="en-US" w:bidi="ar-SA"/>
              </w:rPr>
              <w:t>Candidate</w:t>
            </w:r>
          </w:p>
        </w:tc>
      </w:tr>
      <w:tr>
        <w:trPr/>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Name: Peter Mbugua</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Name: [Full legal name]</w:t>
            </w:r>
          </w:p>
        </w:tc>
      </w:tr>
      <w:tr>
        <w:trPr/>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Title: Cofounder &amp; CEO</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 xml:space="preserve">ID/Passport: </w:t>
            </w:r>
            <w:r>
              <w:rPr>
                <w:rFonts w:eastAsia="ＭＳ 明朝" w:cs=""/>
                <w:kern w:val="0"/>
                <w:sz w:val="22"/>
                <w:szCs w:val="22"/>
                <w:lang w:val="en-US" w:eastAsia="en-US" w:bidi="ar-SA"/>
              </w:rPr>
              <w:t>Fill it here</w:t>
            </w:r>
          </w:p>
        </w:tc>
      </w:tr>
      <w:tr>
        <w:trPr/>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Signature: ________________ Date: ______</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Signature: ________________ Date: ______</w:t>
            </w:r>
          </w:p>
        </w:tc>
      </w:tr>
    </w:tbl>
    <w:p>
      <w:pPr>
        <w:pStyle w:val="Normal"/>
        <w:rPr/>
      </w:pPr>
      <w:r>
        <w:rPr/>
      </w:r>
    </w:p>
    <w:p>
      <w:pPr>
        <w:pStyle w:val="Heading2"/>
        <w:rPr/>
      </w:pPr>
      <w:r>
        <w:rPr/>
        <w:t>Annex A — Vesting schedule (applies to all founder grants)</w:t>
      </w:r>
    </w:p>
    <w:p>
      <w:pPr>
        <w:pStyle w:val="Normal"/>
        <w:ind w:start="360"/>
        <w:rPr/>
      </w:pPr>
      <w:r>
        <w:rPr/>
        <w:t xml:space="preserve">1. </w:t>
      </w:r>
      <w:r>
        <w:rPr>
          <w:b/>
        </w:rPr>
        <w:t>Grant:</w:t>
      </w:r>
      <w:r>
        <w:rPr/>
        <w:t xml:space="preserve"> 16% of the fully-diluted capital of BuddyUp Ltd. as at the start date, recorded in the share register. Identical for every founder seat.</w:t>
      </w:r>
    </w:p>
    <w:p>
      <w:pPr>
        <w:pStyle w:val="Normal"/>
        <w:ind w:start="360"/>
        <w:rPr/>
      </w:pPr>
      <w:r>
        <w:rPr/>
        <w:t xml:space="preserve">2. </w:t>
      </w:r>
      <w:r>
        <w:rPr>
          <w:b/>
        </w:rPr>
        <w:t>Cliff:</w:t>
      </w:r>
      <w:r>
        <w:rPr/>
        <w:t xml:space="preserve"> no shares vest before the 12-month anniversary of the start date. On passing the cliff, 25% vests retroactively; the remainder vests monthly over the following 36 months.</w:t>
      </w:r>
    </w:p>
    <w:p>
      <w:pPr>
        <w:pStyle w:val="Normal"/>
        <w:ind w:start="360"/>
        <w:rPr/>
      </w:pPr>
      <w:r>
        <w:rPr/>
        <w:t xml:space="preserve">3. </w:t>
      </w:r>
      <w:r>
        <w:rPr>
          <w:b/>
        </w:rPr>
        <w:t>Leavers:</w:t>
      </w:r>
    </w:p>
    <w:p>
      <w:pPr>
        <w:pStyle w:val="ListBullet2"/>
        <w:numPr>
          <w:ilvl w:val="0"/>
          <w:numId w:val="2"/>
        </w:numPr>
        <w:rPr/>
      </w:pPr>
      <w:r>
        <w:rPr>
          <w:b/>
        </w:rPr>
        <w:t>Good leaver</w:t>
      </w:r>
      <w:r>
        <w:rPr/>
        <w:t xml:space="preserve"> — by default, every departure that is not a bad leaver is</w:t>
        <w:br/>
        <w:t>treated as a good leaver. Explicit examples: death or serious illness,</w:t>
        <w:br/>
        <w:t>mutual agreement, role eliminated, resignation for good reason (material</w:t>
        <w:br/>
        <w:t>reduction in agreed role/commitment, unpaid equity terms, or a change the</w:t>
        <w:br/>
        <w:t>founder did not consent to). Treatment: vested shares retained; unvested</w:t>
        <w:br/>
        <w:t>cancelled or partly accelerated at board discretion.</w:t>
      </w:r>
    </w:p>
    <w:p>
      <w:pPr>
        <w:pStyle w:val="ListBullet2"/>
        <w:numPr>
          <w:ilvl w:val="0"/>
          <w:numId w:val="2"/>
        </w:numPr>
        <w:rPr/>
      </w:pPr>
      <w:r>
        <w:rPr>
          <w:b/>
        </w:rPr>
        <w:t>Bad leaver</w:t>
      </w:r>
      <w:r>
        <w:rPr/>
        <w:t xml:space="preserve"> — only the following, determined by majority of the</w:t>
        <w:br/>
        <w:t>non-affected founders (or the board where independent):</w:t>
      </w:r>
    </w:p>
    <w:p>
      <w:pPr>
        <w:pStyle w:val="Normal"/>
        <w:ind w:start="864"/>
        <w:rPr/>
      </w:pPr>
      <w:r>
        <w:rPr/>
        <w:t>(a) gross misconduct or fraud;</w:t>
      </w:r>
    </w:p>
    <w:p>
      <w:pPr>
        <w:pStyle w:val="Normal"/>
        <w:ind w:start="864"/>
        <w:rPr/>
      </w:pPr>
      <w:r>
        <w:rPr/>
        <w:t>(b) conviction of an offence involving dishonesty;</w:t>
      </w:r>
    </w:p>
    <w:p>
      <w:pPr>
        <w:pStyle w:val="Normal"/>
        <w:ind w:start="864"/>
        <w:rPr/>
      </w:pPr>
      <w:r>
        <w:rPr/>
        <w:t>(c) material breach of this agreement or the shareholders' agreement (including concealment of a known, material interest declared under clause 7, or breach of confidentiality/IP assignment);</w:t>
      </w:r>
    </w:p>
    <w:p>
      <w:pPr>
        <w:pStyle w:val="Normal"/>
        <w:ind w:start="864"/>
        <w:rPr/>
      </w:pPr>
      <w:r>
        <w:rPr/>
        <w:t xml:space="preserve">(d) resignation </w:t>
      </w:r>
      <w:r>
        <w:rPr>
          <w:b/>
        </w:rPr>
        <w:t>without good reason</w:t>
      </w:r>
      <w:r>
        <w:rPr/>
        <w:t xml:space="preserve"> within the first 24 months after the cliff;</w:t>
      </w:r>
    </w:p>
    <w:p>
      <w:pPr>
        <w:pStyle w:val="Normal"/>
        <w:ind w:start="864"/>
        <w:rPr/>
      </w:pPr>
      <w:r>
        <w:rPr/>
        <w:t>(e) persistent failure to meet the agreed commitment after written warning and a 30-day cure period; or</w:t>
      </w:r>
    </w:p>
    <w:p>
      <w:pPr>
        <w:pStyle w:val="Normal"/>
        <w:ind w:start="864"/>
        <w:rPr/>
      </w:pPr>
      <w:r>
        <w:rPr/>
        <w:t>(f) conduct that seriously damages the company's reputation or regulatory standing. Treatment: unvested shares cancel; vested shares are bought back at fair market value — determined by an independent valuator jointly appointed by the company and the leaver, or, if an arm's-length financing or valuation occurred within the preceding 12 months, at that round's price per share.  Proceeds are payable within 60 days of the valuation. Anything not listed above cannot be treated as bad-leaver conduct.</w:t>
      </w:r>
    </w:p>
    <w:p>
      <w:pPr>
        <w:pStyle w:val="Normal"/>
        <w:ind w:start="360"/>
        <w:rPr/>
      </w:pPr>
      <w:r>
        <w:rPr/>
        <w:t xml:space="preserve">4. </w:t>
      </w:r>
      <w:r>
        <w:rPr>
          <w:b/>
        </w:rPr>
        <w:t>Acceleration:</w:t>
      </w:r>
      <w:r>
        <w:rPr/>
        <w:t xml:space="preserve"> single-trigger acceleration is not offered; double-trigger (change of control + termination without cause, or resignation for good reason following a change of control) accelerates 100% of unvested shares. A change of control alone does not accelerate anything.</w:t>
      </w:r>
    </w:p>
    <w:p>
      <w:pPr>
        <w:pStyle w:val="Normal"/>
        <w:ind w:start="360"/>
        <w:rPr/>
      </w:pPr>
      <w:r>
        <w:rPr/>
        <w:t xml:space="preserve">5. </w:t>
      </w:r>
      <w:r>
        <w:rPr>
          <w:b/>
        </w:rPr>
        <w:t>Dilution:</w:t>
      </w:r>
      <w:r>
        <w:rPr/>
        <w:t xml:space="preserve"> a </w:t>
      </w:r>
      <w:r>
        <w:rPr>
          <w:b/>
        </w:rPr>
        <w:t>20% unallocated reserve</w:t>
      </w:r>
      <w:r>
        <w:rPr/>
        <w:t xml:space="preserve"> (future hires / option pool) is created at incorporation, so future option grants are funded from the reserve rather than by further diluting founders. Future investment rounds dilute all holders pro rata. Any top-up of the pool beyond 20%, or any pool creation from founder holdings, requires unanimous founder consent.</w:t>
      </w:r>
    </w:p>
    <w:p>
      <w:pPr>
        <w:pStyle w:val="Normal"/>
        <w:spacing w:before="0" w:after="200"/>
        <w:ind w:start="360"/>
        <w:rPr/>
      </w:pPr>
      <w:r>
        <w:rPr/>
        <w:t xml:space="preserve">6. </w:t>
      </w:r>
      <w:r>
        <w:rPr>
          <w:b/>
        </w:rPr>
        <w:t>Lock-in:</w:t>
      </w:r>
      <w:r>
        <w:rPr/>
        <w:t xml:space="preserve"> founders may not transfer shares other than per the shareholders' agreement (pre-emption rights apply).</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Application>LibreOffice/26.2.5.2$Linux_X86_64 LibreOffice_project/620$Build-2</Application>
  <AppVersion>15.0000</AppVersion>
  <Pages>9</Pages>
  <Words>2158</Words>
  <Characters>12232</Characters>
  <CharactersWithSpaces>14249</CharactersWithSpaces>
  <Paragraphs>142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2026-08-28T18:02:19Z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