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Cofounder Agreement — Marketing &amp; Sales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Review date</w:t>
            </w:r>
          </w:p>
        </w:tc>
      </w:tr>
      <w:tr>
        <w:tc>
          <w:tcPr>
            <w:tcW w:type="dxa" w:w="4320"/>
          </w:tcPr>
          <w:p>
            <w:r>
              <w:t>Peter Mbugua (CEO); incoming Marketing/Sales cofounder on appointment</w:t>
            </w:r>
          </w:p>
        </w:tc>
        <w:tc>
          <w:tcPr>
            <w:tcW w:type="dxa" w:w="4320"/>
          </w:tcPr>
          <w:p>
            <w:r>
              <w:t>2026-09-30</w:t>
            </w:r>
          </w:p>
        </w:tc>
      </w:tr>
    </w:tbl>
    <w:p/>
    <w:p>
      <w:r>
        <w:rPr>
          <w:b/>
        </w:rPr>
        <w:t>BuddyUp Ltd.</w:t>
      </w:r>
      <w:r>
        <w:t xml:space="preserve"> — Founding Team Heads of Terms (pre-shareholders' agreement)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Candidate</w:t>
            </w:r>
          </w:p>
        </w:tc>
        <w:tc>
          <w:tcPr>
            <w:tcW w:type="dxa" w:w="4320"/>
          </w:tcPr>
          <w:p>
            <w:r>
              <w:t>[Full legal name], ID/Passport No. [●]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Cofounder — Marketing, Sales &amp; Partnerships</w:t>
            </w:r>
          </w:p>
        </w:tc>
      </w:tr>
      <w:tr>
        <w:tc>
          <w:tcPr>
            <w:tcW w:type="dxa" w:w="4320"/>
          </w:tcPr>
          <w:p>
            <w:r>
              <w:t>Proposed equity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16%</w:t>
            </w:r>
            <w:r>
              <w:t xml:space="preserve"> of fully-diluted share capital at grant, subject to the vesting terms in Annex A</w:t>
            </w:r>
          </w:p>
        </w:tc>
      </w:tr>
      <w:tr>
        <w:tc>
          <w:tcPr>
            <w:tcW w:type="dxa" w:w="4320"/>
          </w:tcPr>
          <w:p>
            <w:r>
              <w:t>Commitment</w:t>
            </w:r>
          </w:p>
        </w:tc>
        <w:tc>
          <w:tcPr>
            <w:tcW w:type="dxa" w:w="4320"/>
          </w:tcPr>
          <w:p>
            <w:r>
              <w:t xml:space="preserve">Part-time — minimum </w:t>
            </w:r>
            <w:r>
              <w:rPr>
                <w:b/>
              </w:rPr>
              <w:t>10 hours per week</w:t>
            </w:r>
            <w:r>
              <w:t xml:space="preserve"> (Clause 4)</w:t>
            </w:r>
          </w:p>
        </w:tc>
      </w:tr>
      <w:tr>
        <w:tc>
          <w:tcPr>
            <w:tcW w:type="dxa" w:w="4320"/>
          </w:tcPr>
          <w:p>
            <w:r>
              <w:t>Vesting</w:t>
            </w:r>
          </w:p>
        </w:tc>
        <w:tc>
          <w:tcPr>
            <w:tcW w:type="dxa" w:w="4320"/>
          </w:tcPr>
          <w:p>
            <w:r>
              <w:t>4 years monthly, 1-year cliff (Annex A)</w:t>
            </w:r>
          </w:p>
        </w:tc>
      </w:tr>
      <w:tr>
        <w:tc>
          <w:tcPr>
            <w:tcW w:type="dxa" w:w="4320"/>
          </w:tcPr>
          <w:p>
            <w:r>
              <w:t>Start date</w:t>
            </w:r>
          </w:p>
        </w:tc>
        <w:tc>
          <w:tcPr>
            <w:tcW w:type="dxa" w:w="4320"/>
          </w:tcPr>
          <w:p>
            <w:r>
              <w:t>[●]</w:t>
            </w:r>
          </w:p>
        </w:tc>
      </w:tr>
      <w:tr>
        <w:tc>
          <w:tcPr>
            <w:tcW w:type="dxa" w:w="4320"/>
          </w:tcPr>
          <w:p>
            <w:r>
              <w:t>Reporting line</w:t>
            </w:r>
          </w:p>
        </w:tc>
        <w:tc>
          <w:tcPr>
            <w:tcW w:type="dxa" w:w="4320"/>
          </w:tcPr>
          <w:p>
            <w:r>
              <w:t>CEO / Board of BuddyUp Ltd.</w:t>
            </w:r>
          </w:p>
        </w:tc>
      </w:tr>
    </w:tbl>
    <w:p/>
    <w:p>
      <w:pPr>
        <w:ind w:left="432"/>
      </w:pPr>
      <w:r>
        <w:rPr>
          <w:b/>
        </w:rPr>
        <w:t>Status:</w:t>
      </w:r>
      <w:r>
        <w:t xml:space="preserve"> This is an invitation to join the founding team and a summary of proposed</w:t>
      </w:r>
    </w:p>
    <w:p>
      <w:pPr>
        <w:ind w:left="432"/>
      </w:pPr>
      <w:r>
        <w:t>terms. It is not a shareholders' agreement, not an employment contract, and not legal</w:t>
      </w:r>
    </w:p>
    <w:p>
      <w:pPr>
        <w:ind w:left="432"/>
      </w:pPr>
      <w:r>
        <w:t>advice. It becomes binding only when superseded by the executed Founders' Shareholders'</w:t>
      </w:r>
    </w:p>
    <w:p>
      <w:pPr>
        <w:ind w:left="432"/>
      </w:pPr>
      <w:r>
        <w:t>Agreement (Kenyan law) that all founders will sign together.</w:t>
      </w:r>
    </w:p>
    <w:p>
      <w:pPr>
        <w:pStyle w:val="Heading2"/>
      </w:pPr>
      <w:r>
        <w:t>Founding team &amp; ownership</w:t>
      </w:r>
      <w:r>
        <w:br/>
      </w:r>
      <w:r>
        <w:t>The founding team holds 80% of BuddyUp Ltd. at incorporation, with a **20%</w:t>
      </w:r>
      <w:r>
        <w:br/>
      </w:r>
      <w:r>
        <w:t>unallocated reserve** for future hires and the option pool. All five founder</w:t>
      </w:r>
      <w:r>
        <w:br/>
      </w:r>
      <w:r>
        <w:t xml:space="preserve">seats hold an </w:t>
      </w:r>
      <w:r>
        <w:rPr>
          <w:b/>
        </w:rPr>
        <w:t>equal 16%</w:t>
      </w:r>
      <w:r>
        <w:t xml:space="preserve"> — the YC-recommended structure — split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Holder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Equity</w:t>
            </w:r>
          </w:p>
        </w:tc>
      </w:tr>
      <w:tr>
        <w:tc>
          <w:tcPr>
            <w:tcW w:type="dxa" w:w="2880"/>
          </w:tcPr>
          <w:p>
            <w:r>
              <w:t>Cofounder &amp; CEO — Engineering</w:t>
            </w:r>
          </w:p>
        </w:tc>
        <w:tc>
          <w:tcPr>
            <w:tcW w:type="dxa" w:w="2880"/>
          </w:tcPr>
          <w:p>
            <w:r>
              <w:t>Peter Mbugua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16%</w:t>
            </w:r>
          </w:p>
        </w:tc>
      </w:tr>
      <w:tr>
        <w:tc>
          <w:tcPr>
            <w:tcW w:type="dxa" w:w="2880"/>
          </w:tcPr>
          <w:p>
            <w:r>
              <w:t>Cofounder — Marketing, Sales &amp; Partnerships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(this offer — [Full legal name])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16%</w:t>
            </w:r>
          </w:p>
        </w:tc>
      </w:tr>
      <w:tr>
        <w:tc>
          <w:tcPr>
            <w:tcW w:type="dxa" w:w="2880"/>
          </w:tcPr>
          <w:p>
            <w:r>
              <w:t>Cofounder — Security Engineering &amp; Trust</w:t>
            </w:r>
          </w:p>
        </w:tc>
        <w:tc>
          <w:tcPr>
            <w:tcW w:type="dxa" w:w="2880"/>
          </w:tcPr>
          <w:p>
            <w:r>
              <w:t>[●]</w:t>
            </w:r>
          </w:p>
        </w:tc>
        <w:tc>
          <w:tcPr>
            <w:tcW w:type="dxa" w:w="2880"/>
          </w:tcPr>
          <w:p>
            <w:r>
              <w:t>16%</w:t>
            </w:r>
          </w:p>
        </w:tc>
      </w:tr>
      <w:tr>
        <w:tc>
          <w:tcPr>
            <w:tcW w:type="dxa" w:w="2880"/>
          </w:tcPr>
          <w:p>
            <w:r>
              <w:t>Cofounder — Finance, Strategy &amp; Controller</w:t>
            </w:r>
          </w:p>
        </w:tc>
        <w:tc>
          <w:tcPr>
            <w:tcW w:type="dxa" w:w="2880"/>
          </w:tcPr>
          <w:p>
            <w:r>
              <w:t>[●]</w:t>
            </w:r>
          </w:p>
        </w:tc>
        <w:tc>
          <w:tcPr>
            <w:tcW w:type="dxa" w:w="2880"/>
          </w:tcPr>
          <w:p>
            <w:r>
              <w:t>16%</w:t>
            </w:r>
          </w:p>
        </w:tc>
      </w:tr>
      <w:tr>
        <w:tc>
          <w:tcPr>
            <w:tcW w:type="dxa" w:w="2880"/>
          </w:tcPr>
          <w:p>
            <w:r>
              <w:t>Cofounder — Legal, Compliance &amp; Research</w:t>
            </w:r>
          </w:p>
        </w:tc>
        <w:tc>
          <w:tcPr>
            <w:tcW w:type="dxa" w:w="2880"/>
          </w:tcPr>
          <w:p>
            <w:r>
              <w:t>[●]</w:t>
            </w:r>
          </w:p>
        </w:tc>
        <w:tc>
          <w:tcPr>
            <w:tcW w:type="dxa" w:w="2880"/>
          </w:tcPr>
          <w:p>
            <w:r>
              <w:t>16%</w:t>
            </w:r>
          </w:p>
        </w:tc>
      </w:tr>
      <w:tr>
        <w:tc>
          <w:tcPr>
            <w:tcW w:type="dxa" w:w="2880"/>
          </w:tcPr>
          <w:p>
            <w:r>
              <w:t>Unallocated reserve (future hires / option pool)</w:t>
            </w:r>
          </w:p>
        </w:tc>
        <w:tc>
          <w:tcPr>
            <w:tcW w:type="dxa" w:w="2880"/>
          </w:tcPr>
          <w:p>
            <w:r>
              <w:t>held for unanimous founder 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100%</w:t>
            </w:r>
          </w:p>
        </w:tc>
      </w:tr>
    </w:tbl>
    <w:p/>
    <w:p>
      <w:r>
        <w:t xml:space="preserve">The reserve is set at </w:t>
      </w:r>
      <w:r>
        <w:rPr>
          <w:b/>
        </w:rPr>
        <w:t>20%</w:t>
      </w:r>
      <w:r>
        <w:t xml:space="preserve"> — the market range for an early-stage option pool —</w:t>
      </w:r>
    </w:p>
    <w:p>
      <w:r>
        <w:t xml:space="preserve">and is created </w:t>
      </w:r>
      <w:r>
        <w:rPr>
          <w:b/>
        </w:rPr>
        <w:t>at incorporation</w:t>
      </w:r>
      <w:r>
        <w:t xml:space="preserve"> so that future hires and stock options are</w:t>
      </w:r>
    </w:p>
    <w:p>
      <w:r>
        <w:t>funded from the reserve instead of diluting founders later. Any top-up beyond 20%</w:t>
      </w:r>
    </w:p>
    <w:p>
      <w:r>
        <w:t>requires unanimous founder consent (Annex A, clause 5). Equal equity reflects the</w:t>
      </w:r>
    </w:p>
    <w:p>
      <w:r>
        <w:t xml:space="preserve">work done </w:t>
      </w:r>
      <w:r>
        <w:rPr>
          <w:i/>
        </w:rPr>
        <w:t>after</w:t>
      </w:r>
      <w:r>
        <w:t xml:space="preserve"> the start date; the CEO's pre-founding build is acknowledged</w:t>
      </w:r>
    </w:p>
    <w:p>
      <w:r>
        <w:t>through role and casting-vote authority, not extra equity. Percentages above are</w:t>
      </w:r>
    </w:p>
    <w:p>
      <w:r>
        <w:t>indicative pending the Founders' Shareholders' Agreement.</w:t>
      </w:r>
    </w:p>
    <w:p>
      <w:r>
        <w:t>All founder equity vests on identical terms (Annex A). No seat carries special</w:t>
      </w:r>
    </w:p>
    <w:p>
      <w:r>
        <w:t>voting or economic rights beyond the shareholders' agreement.</w:t>
      </w:r>
    </w:p>
    <w:p>
      <w:pPr>
        <w:pStyle w:val="Heading2"/>
      </w:pPr>
      <w:r>
        <w:t>1. Why this seat exists</w:t>
      </w:r>
      <w:r>
        <w:br/>
      </w:r>
      <w:r>
        <w:t>The platform is built: web + Flutter apps, communities, buddy matching, coach bookings,</w:t>
      </w:r>
      <w:r>
        <w:br/>
      </w:r>
      <w:r>
        <w:t>marketplace, M-PESA/card payments, moderation and verification flows. What BuddyUp does</w:t>
      </w:r>
      <w:r>
        <w:br/>
      </w:r>
      <w:r>
        <w:t>not have yet is demand — paying gyms, studios and coaches in Nairobi, and activated</w:t>
      </w:r>
      <w:r>
        <w:br/>
      </w:r>
      <w:r>
        <w:t>members inside their communities.</w:t>
      </w:r>
      <w:r>
        <w:br/>
      </w:r>
      <w:r>
        <w:t>Our model is partner-led density: a gym community supplies a real-world cluster, which</w:t>
      </w:r>
      <w:r>
        <w:br/>
      </w:r>
      <w:r>
        <w:t>solves cold-start better than any ad spend. The funded plan commits to recruiting</w:t>
      </w:r>
      <w:r>
        <w:br/>
      </w:r>
      <w:r>
        <w:rPr>
          <w:b/>
        </w:rPr>
        <w:t>10 design partners and converting 30 paying partners within 18 months</w:t>
      </w:r>
      <w:r>
        <w:t>, plus member</w:t>
      </w:r>
      <w:r>
        <w:br/>
      </w:r>
      <w:r>
        <w:t>activation measured on participation — not downloads.</w:t>
      </w:r>
    </w:p>
    <w:p>
      <w:pPr>
        <w:pStyle w:val="Heading2"/>
      </w:pPr>
      <w:r>
        <w:t>2. Mandate</w:t>
      </w:r>
      <w:r>
        <w:br/>
      </w:r>
      <w:r>
        <w:t>Own the entire revenue engine:</w:t>
      </w:r>
    </w:p>
    <w:p>
      <w:pPr>
        <w:ind w:left="360"/>
      </w:pPr>
      <w:r>
        <w:t xml:space="preserve">1. </w:t>
      </w:r>
      <w:r>
        <w:rPr>
          <w:b/>
        </w:rPr>
        <w:t>Design partners (first 90 days)</w:t>
      </w:r>
    </w:p>
    <w:p>
      <w:pPr>
        <w:pStyle w:val="ListBullet2"/>
      </w:pPr>
      <w:r>
        <w:t>Recruit and onboard the first 10 gyms/studios/coaches as free design partners.</w:t>
      </w:r>
    </w:p>
    <w:p>
      <w:pPr>
        <w:pStyle w:val="ListBullet2"/>
      </w:pPr>
      <w:r>
        <w:t>Run structured onboarding so each partner launches a branded community with at</w:t>
      </w:r>
      <w:r>
        <w:br/>
      </w:r>
      <w:r>
        <w:t>least one scheduled activity per week within two weeks of signup.</w:t>
      </w:r>
    </w:p>
    <w:p>
      <w:pPr>
        <w:ind w:left="360"/>
      </w:pPr>
      <w:r>
        <w:t xml:space="preserve">2. </w:t>
      </w:r>
      <w:r>
        <w:rPr>
          <w:b/>
        </w:rPr>
        <w:t>Paying partners</w:t>
      </w:r>
    </w:p>
    <w:p>
      <w:pPr>
        <w:pStyle w:val="ListBullet2"/>
      </w:pPr>
      <w:r>
        <w:t>Convert design partners to paid Partner SaaS plans; own pricing feedback loops</w:t>
      </w:r>
      <w:r>
        <w:br/>
      </w:r>
      <w:r>
        <w:t>with the Finance cofounder.</w:t>
      </w:r>
    </w:p>
    <w:p>
      <w:pPr>
        <w:pStyle w:val="ListBullet2"/>
      </w:pPr>
      <w:r>
        <w:t>Build and run the sales playbook: outreach, demos, objections, close paperwork</w:t>
      </w:r>
      <w:r>
        <w:br/>
      </w:r>
      <w:r>
        <w:t>(with the Legal cofounder), handoff to partner success.</w:t>
      </w:r>
    </w:p>
    <w:p>
      <w:pPr>
        <w:ind w:left="360"/>
      </w:pPr>
      <w:r>
        <w:t xml:space="preserve">3. </w:t>
      </w:r>
      <w:r>
        <w:rPr>
          <w:b/>
        </w:rPr>
        <w:t>Member activation</w:t>
      </w:r>
    </w:p>
    <w:p>
      <w:pPr>
        <w:pStyle w:val="ListBullet2"/>
      </w:pPr>
      <w:r>
        <w:t>Own referral, ambassador and partner-launch campaigns; report on *activated</w:t>
      </w:r>
      <w:r>
        <w:br/>
      </w:r>
      <w:r>
        <w:t>members* (joined ≥1 planned activity with a Bud), never vanity metrics.</w:t>
      </w:r>
    </w:p>
    <w:p>
      <w:pPr>
        <w:ind w:left="360"/>
      </w:pPr>
      <w:r>
        <w:t xml:space="preserve">4. </w:t>
      </w:r>
      <w:r>
        <w:rPr>
          <w:b/>
        </w:rPr>
        <w:t>Brand &amp; content</w:t>
      </w:r>
    </w:p>
    <w:p>
      <w:pPr>
        <w:pStyle w:val="ListBullet2"/>
      </w:pPr>
      <w:r>
        <w:t>Own positioning, website messaging, social presence and local-community marketing.</w:t>
      </w:r>
    </w:p>
    <w:p>
      <w:pPr>
        <w:pStyle w:val="ListBullet2"/>
      </w:pPr>
      <w:r>
        <w:t>Enforce gifting/disclosure rules from the Legal framework in every campaign —</w:t>
      </w:r>
      <w:r>
        <w:br/>
      </w:r>
      <w:r>
        <w:t>no undisclosed material connections, ever.</w:t>
      </w:r>
    </w:p>
    <w:p>
      <w:pPr>
        <w:ind w:left="360"/>
      </w:pPr>
      <w:r>
        <w:t xml:space="preserve">5. </w:t>
      </w:r>
      <w:r>
        <w:rPr>
          <w:b/>
        </w:rPr>
        <w:t>Voice of market</w:t>
      </w:r>
    </w:p>
    <w:p>
      <w:pPr>
        <w:pStyle w:val="ListBullet2"/>
      </w:pPr>
      <w:r>
        <w:t>Monthly written market brief to the founding team: what partners and members</w:t>
      </w:r>
      <w:r>
        <w:br/>
      </w:r>
      <w:r>
        <w:t>actually say, what they refuse to pay for, what competitors (Strava, ClassPass,</w:t>
      </w:r>
      <w:r>
        <w:br/>
      </w:r>
      <w:r>
        <w:t>Trainerize, WhatsApp groups) are doing locally.</w:t>
      </w:r>
    </w:p>
    <w:p>
      <w:pPr>
        <w:pStyle w:val="Heading2"/>
      </w:pPr>
      <w:r>
        <w:t>3. Decision rights</w:t>
      </w:r>
    </w:p>
    <w:p>
      <w:pPr>
        <w:pStyle w:val="ListBullet"/>
      </w:pPr>
      <w:r>
        <w:rPr>
          <w:b/>
        </w:rPr>
        <w:t>Owns:</w:t>
      </w:r>
      <w:r>
        <w:t xml:space="preserve"> sales pipeline, partner pricing experiments within board-approved bounds,</w:t>
      </w:r>
      <w:r>
        <w:br/>
      </w:r>
      <w:r>
        <w:t>campaign budgets within the approved plan, brand voice.</w:t>
      </w:r>
    </w:p>
    <w:p>
      <w:pPr>
        <w:pStyle w:val="ListBullet"/>
      </w:pPr>
      <w:r>
        <w:rPr>
          <w:b/>
        </w:rPr>
        <w:t>Joint sign-off (with Finance):</w:t>
      </w:r>
      <w:r>
        <w:t xml:space="preserve"> non-standard discounting, annual contract terms.</w:t>
      </w:r>
    </w:p>
    <w:p>
      <w:pPr>
        <w:pStyle w:val="ListBullet"/>
      </w:pPr>
      <w:r>
        <w:rPr>
          <w:b/>
        </w:rPr>
        <w:t>Joint sign-off (with Legal):</w:t>
      </w:r>
      <w:r>
        <w:t xml:space="preserve"> any public claim touching health outcomes,</w:t>
      </w:r>
      <w:r>
        <w:br/>
      </w:r>
      <w:r>
        <w:t>testimonials or before/after imagery.</w:t>
      </w:r>
    </w:p>
    <w:p>
      <w:pPr>
        <w:pStyle w:val="Heading3"/>
      </w:pPr>
      <w:r>
        <w:t>Deadlocks &amp; the CEO casting vote</w:t>
      </w:r>
      <w:r>
        <w:br/>
      </w:r>
      <w:r>
        <w:t>Each founder decides their own domain (above). For cross-domain or company-level</w:t>
      </w:r>
      <w:r>
        <w:br/>
      </w:r>
      <w:r>
        <w:t>decisions that deadlock after genuine discussion:</w:t>
      </w:r>
    </w:p>
    <w:p>
      <w:pPr>
        <w:ind w:left="360"/>
      </w:pPr>
      <w:r>
        <w:t>1. Each position is written down with reasons and evidence (one page max).</w:t>
      </w:r>
    </w:p>
    <w:p>
      <w:pPr>
        <w:ind w:left="360"/>
      </w:pPr>
      <w:r>
        <w:t>2. A 48-hour cool-off follows; most disagreements dissolve here.</w:t>
      </w:r>
    </w:p>
    <w:p>
      <w:pPr>
        <w:ind w:left="360"/>
      </w:pPr>
      <w:r>
        <w:t xml:space="preserve">3. If not, the </w:t>
      </w:r>
      <w:r>
        <w:rPr>
          <w:b/>
        </w:rPr>
        <w:t>CEO casts the deciding vote</w:t>
      </w:r>
      <w:r>
        <w:t>, with written reasons within five</w:t>
      </w:r>
    </w:p>
    <w:p>
      <w:r>
        <w:t>working days.</w:t>
      </w:r>
    </w:p>
    <w:p>
      <w:pPr>
        <w:ind w:left="360"/>
      </w:pPr>
      <w:r>
        <w:t xml:space="preserve">4. The decision is recorded in writing and everyone </w:t>
      </w:r>
      <w:r>
        <w:rPr>
          <w:b/>
        </w:rPr>
        <w:t>disagrees and commits</w:t>
      </w:r>
      <w:r>
        <w:t xml:space="preserve"> —</w:t>
      </w:r>
    </w:p>
    <w:p>
      <w:r>
        <w:t>no relitigating.</w:t>
      </w:r>
    </w:p>
    <w:p>
      <w:pPr>
        <w:ind w:left="360"/>
      </w:pPr>
      <w:r>
        <w:t>5. The CEO is recused from casting on decisions that directly affect the CEO's</w:t>
      </w:r>
    </w:p>
    <w:p>
      <w:r>
        <w:t>own equity, role or removal.</w:t>
      </w:r>
    </w:p>
    <w:p>
      <w:pPr>
        <w:ind w:left="360"/>
      </w:pPr>
      <w:r>
        <w:t xml:space="preserve">6. </w:t>
      </w:r>
      <w:r>
        <w:rPr>
          <w:b/>
        </w:rPr>
        <w:t>Reserved matters</w:t>
      </w:r>
      <w:r>
        <w:t xml:space="preserve"> are never settled by the casting vote alone — selling or</w:t>
      </w:r>
    </w:p>
    <w:p>
      <w:r>
        <w:t>dissolving the company, removing or adding a cofounder, changing the equity</w:t>
      </w:r>
    </w:p>
    <w:p>
      <w:r>
        <w:t>split, or removing the CEO follow the Founders' Shareholders' Agreement.</w:t>
      </w:r>
    </w:p>
    <w:p>
      <w:r>
        <w:t>Rationale and options analysis: [</w:t>
      </w:r>
      <w:r>
        <w:rPr>
          <w:rFonts w:ascii="Consolas" w:hAnsi="Consolas"/>
        </w:rPr>
        <w:t>README.md</w:t>
      </w:r>
      <w:r>
        <w:t>](README.md) — "Decision-making &amp; the</w:t>
      </w:r>
    </w:p>
    <w:p>
      <w:r>
        <w:t>CEO casting vote". The mechanism becomes binding in the shareholders' agreement.</w:t>
      </w:r>
    </w:p>
    <w:p>
      <w:pPr>
        <w:pStyle w:val="Heading2"/>
      </w:pPr>
      <w:r>
        <w:t>4. Commitment</w:t>
      </w:r>
    </w:p>
    <w:p>
      <w:pPr>
        <w:pStyle w:val="ListBullet"/>
      </w:pPr>
      <w:r>
        <w:rPr>
          <w:b/>
        </w:rPr>
        <w:t>Part-time founding role:</w:t>
      </w:r>
      <w:r>
        <w:t xml:space="preserve"> you commit a minimum of </w:t>
      </w:r>
      <w:r>
        <w:rPr>
          <w:b/>
        </w:rPr>
        <w:t>10 hours per week</w:t>
      </w:r>
      <w:r>
        <w:t xml:space="preserve"> on</w:t>
      </w:r>
      <w:r>
        <w:br/>
      </w:r>
      <w:r>
        <w:t>average, scheduled flexibly around existing commitments. This is a</w:t>
      </w:r>
      <w:r>
        <w:br/>
      </w:r>
      <w:r>
        <w:t>build-the-company seat with real deliverables, not an advisory arrangement.</w:t>
      </w:r>
      <w:r>
        <w:br/>
      </w:r>
      <w:r>
        <w:t>You keep founder-level ownership of a number: **paying partners and activated</w:t>
      </w:r>
      <w:r>
        <w:br/>
      </w:r>
      <w:r>
        <w:t>members**.</w:t>
      </w:r>
    </w:p>
    <w:p>
      <w:pPr>
        <w:pStyle w:val="ListBullet"/>
      </w:pPr>
      <w:r>
        <w:t xml:space="preserve">Commitment is measured by </w:t>
      </w:r>
      <w:r>
        <w:rPr>
          <w:b/>
        </w:rPr>
        <w:t>outcomes</w:t>
      </w:r>
      <w:r>
        <w:t xml:space="preserve"> — the mandate in clause 2 and the</w:t>
      </w:r>
      <w:r>
        <w:br/>
      </w:r>
      <w:r>
        <w:t>deliverables in clause 6 — not hours logged. Where a partner launch, campaign</w:t>
      </w:r>
      <w:r>
        <w:br/>
      </w:r>
      <w:r>
        <w:t>or negotiation needs a focused push, you make reasonable additional time</w:t>
      </w:r>
      <w:r>
        <w:br/>
      </w:r>
      <w:r>
        <w:t>available by prior agreement.</w:t>
      </w:r>
    </w:p>
    <w:p>
      <w:pPr>
        <w:pStyle w:val="ListBullet"/>
      </w:pPr>
      <w:r>
        <w:t>Commitment level is reviewed together after the foundations period; moving to</w:t>
      </w:r>
      <w:r>
        <w:br/>
      </w:r>
      <w:r>
        <w:t>full-time later is by mutual agreement as the company grows.</w:t>
      </w:r>
    </w:p>
    <w:p>
      <w:pPr>
        <w:pStyle w:val="ListBullet"/>
      </w:pPr>
      <w:r>
        <w:rPr>
          <w:b/>
        </w:rPr>
        <w:t>Foundations period (first 90 days):</w:t>
      </w:r>
      <w:r>
        <w:t xml:space="preserve"> mutual trial. Either side may part ways</w:t>
      </w:r>
      <w:r>
        <w:br/>
      </w:r>
      <w:r>
        <w:t>before day 90 with no vested equity and no ongoing obligations beyond confidentiality.</w:t>
      </w:r>
    </w:p>
    <w:p>
      <w:pPr>
        <w:pStyle w:val="ListBullet"/>
      </w:pPr>
      <w:r>
        <w:t>Directorship is expected once the shareholders' agreement is signed, and only</w:t>
      </w:r>
      <w:r>
        <w:br/>
      </w:r>
      <w:r>
        <w:t>after director protections are in place (D&amp;O insurance and/or an indemnity to</w:t>
      </w:r>
      <w:r>
        <w:br/>
      </w:r>
      <w:r>
        <w:t>the fullest extent permitted by the Companies Act 2015 — clause 8).</w:t>
      </w:r>
    </w:p>
    <w:p>
      <w:pPr>
        <w:pStyle w:val="Heading2"/>
      </w:pPr>
      <w:r>
        <w:t>5. Equity — summary</w:t>
      </w:r>
      <w:r>
        <w:br/>
      </w:r>
      <w:r>
        <w:t xml:space="preserve">Grant of </w:t>
      </w:r>
      <w:r>
        <w:rPr>
          <w:b/>
        </w:rPr>
        <w:t>16%</w:t>
      </w:r>
      <w:r>
        <w:t xml:space="preserve"> fully-diluted at grant — equal across all five founder seats —</w:t>
      </w:r>
      <w:r>
        <w:br/>
      </w:r>
      <w:r>
        <w:t>alongside a 20% unallocated reserve created at incorporation; vesting and leaver</w:t>
      </w:r>
      <w:r>
        <w:br/>
      </w:r>
      <w:r>
        <w:t>terms per Annex A (bad-leaver buy-back at fair market value). Equity subject to</w:t>
      </w:r>
      <w:r>
        <w:br/>
      </w:r>
      <w:r>
        <w:t>IP assignment (clause 7) and execution of the shareholders' agreement.</w:t>
      </w:r>
    </w:p>
    <w:p>
      <w:pPr>
        <w:pStyle w:val="Heading2"/>
      </w:pPr>
      <w:r>
        <w:t>6. First 90 days — success looks like</w:t>
      </w:r>
    </w:p>
    <w:p>
      <w:pPr>
        <w:ind w:left="360"/>
      </w:pPr>
      <w:r>
        <w:t>1. 10 signed design partners live on the platform, each with an active weekly activity.</w:t>
      </w:r>
    </w:p>
    <w:p>
      <w:pPr>
        <w:ind w:left="360"/>
      </w:pPr>
      <w:r>
        <w:t>2. First 3 conversion conversations opened (not closed — opened).</w:t>
      </w:r>
    </w:p>
    <w:p>
      <w:pPr>
        <w:ind w:left="360"/>
      </w:pPr>
      <w:r>
        <w:t>3. Referral loop v1 running inside at least 3 partner communities.</w:t>
      </w:r>
    </w:p>
    <w:p>
      <w:pPr>
        <w:ind w:left="360"/>
      </w:pPr>
      <w:r>
        <w:t>4. Sales playbook v1 documented well enough that a new hire could run demo #11.</w:t>
      </w:r>
    </w:p>
    <w:p>
      <w:pPr>
        <w:ind w:left="360"/>
      </w:pPr>
      <w:r>
        <w:t>5. Monthly market brief #1 delivered.</w:t>
      </w:r>
    </w:p>
    <w:p>
      <w:r>
        <w:t>If after 90 days fewer than 5 design partners are live, we take that seriously as a</w:t>
      </w:r>
    </w:p>
    <w:p>
      <w:r>
        <w:t>signal — about the market, the product or the fit — and address it together honestly.</w:t>
      </w:r>
    </w:p>
    <w:p>
      <w:r>
        <w:rPr>
          <w:b/>
        </w:rPr>
        <w:t>How the 90 days are measured — deliberately realistic:</w:t>
      </w:r>
    </w:p>
    <w:p>
      <w:pPr>
        <w:pStyle w:val="ListBullet"/>
      </w:pPr>
      <w:r>
        <w:t>Your obligation is to take each listed action with all reasonable skill and</w:t>
      </w:r>
      <w:r>
        <w:br/>
      </w:r>
      <w:r>
        <w:t>care, keep the founding team informed, and escalate blockers early.</w:t>
      </w:r>
    </w:p>
    <w:p>
      <w:pPr>
        <w:pStyle w:val="ListBullet"/>
      </w:pPr>
      <w:r>
        <w:t>Where a step depends on a third party (gym/studio owners, advocates, payment</w:t>
      </w:r>
      <w:r>
        <w:br/>
      </w:r>
      <w:r>
        <w:t>providers) and that party's timeline slips beyond its stated commitment, the</w:t>
      </w:r>
      <w:r>
        <w:br/>
      </w:r>
      <w:r>
        <w:t>deadline extends day-for-day **without the deliverable being treated as</w:t>
      </w:r>
      <w:r>
        <w:br/>
      </w:r>
      <w:r>
        <w:t>failed** — provided you engaged or prompted promptly and can evidence it.</w:t>
      </w:r>
    </w:p>
    <w:p>
      <w:pPr>
        <w:pStyle w:val="ListBullet"/>
      </w:pPr>
      <w:r>
        <w:t>At a day-60 checkpoint you and the CEO may re-scope the list by mutual written</w:t>
      </w:r>
      <w:r>
        <w:br/>
      </w:r>
      <w:r>
        <w:t>agreement, without stigma or effect on vesting.</w:t>
      </w:r>
    </w:p>
    <w:p>
      <w:pPr>
        <w:pStyle w:val="ListBullet"/>
      </w:pPr>
      <w:r>
        <w:t>This flexibility does not absolve the obligations: unexplained stalls with no</w:t>
      </w:r>
      <w:r>
        <w:br/>
      </w:r>
      <w:r>
        <w:t>third-party cause remain a legitimate concern under the foundations period.</w:t>
      </w:r>
    </w:p>
    <w:p>
      <w:pPr>
        <w:pStyle w:val="Heading2"/>
      </w:pPr>
      <w:r>
        <w:t>7. IP, confidentiality &amp; declaration of interests</w:t>
      </w:r>
    </w:p>
    <w:p>
      <w:pPr>
        <w:pStyle w:val="ListBullet"/>
      </w:pPr>
      <w:r>
        <w:t>All campaigns, lists, playbooks, creative and collateral created for BuddyUp belong</w:t>
      </w:r>
      <w:r>
        <w:br/>
      </w:r>
      <w:r>
        <w:t>to BuddyUp Ltd. from creation.</w:t>
      </w:r>
    </w:p>
    <w:p>
      <w:pPr>
        <w:pStyle w:val="ListBullet"/>
      </w:pPr>
      <w:r>
        <w:t>Confidentiality applies indefinitely and starts now, including pre-signature talks.</w:t>
      </w:r>
    </w:p>
    <w:p>
      <w:pPr>
        <w:pStyle w:val="ListBullet"/>
      </w:pPr>
      <w:r>
        <w:rPr>
          <w:b/>
        </w:rPr>
        <w:t>Declaration of interests (not a blanket conflicts bar):</w:t>
      </w:r>
    </w:p>
    <w:p>
      <w:pPr>
        <w:pStyle w:val="ListBullet2"/>
      </w:pPr>
      <w:r>
        <w:t>Before signature you complete a written declaration of interests covering</w:t>
      </w:r>
      <w:r>
        <w:br/>
      </w:r>
      <w:r>
        <w:t>current employment, businesses, directorships, significant investments,</w:t>
      </w:r>
      <w:r>
        <w:br/>
      </w:r>
      <w:r>
        <w:t>partnerships and other commitments.</w:t>
      </w:r>
    </w:p>
    <w:p>
      <w:pPr>
        <w:pStyle w:val="ListBullet2"/>
      </w:pPr>
      <w:r>
        <w:t xml:space="preserve">Outside work is </w:t>
      </w:r>
      <w:r>
        <w:rPr>
          <w:b/>
        </w:rPr>
        <w:t>permitted</w:t>
      </w:r>
      <w:r>
        <w:t xml:space="preserve"> and is not, by itself, a conflict. What must be</w:t>
      </w:r>
      <w:r>
        <w:br/>
      </w:r>
      <w:r>
        <w:t>disclosed is anything that could materially impair impartiality, divert</w:t>
      </w:r>
      <w:r>
        <w:br/>
      </w:r>
      <w:r>
        <w:t>BuddyUp's revenue or partnership work elsewhere, or place you opposite the</w:t>
      </w:r>
      <w:r>
        <w:br/>
      </w:r>
      <w:r>
        <w:t>company (e.g. representing a competing fitness platform or a partner in</w:t>
      </w:r>
      <w:r>
        <w:br/>
      </w:r>
      <w:r>
        <w:t>dispute with BuddyUp). Competing fitness-platform involvement during the</w:t>
      </w:r>
      <w:r>
        <w:br/>
      </w:r>
      <w:r>
        <w:t>engagement continues to require board consent.</w:t>
      </w:r>
    </w:p>
    <w:p>
      <w:pPr>
        <w:pStyle w:val="ListBullet2"/>
      </w:pPr>
      <w:r>
        <w:t>If a declared interest later becomes a genuine conflict in a specific matter,</w:t>
      </w:r>
      <w:r>
        <w:br/>
      </w:r>
      <w:r>
        <w:t>it is managed case by case — recusal, an information barrier, or re-scoping —</w:t>
      </w:r>
      <w:r>
        <w:br/>
      </w:r>
      <w:r>
        <w:t>rather than by prohibiting the outside work.</w:t>
      </w:r>
    </w:p>
    <w:p>
      <w:pPr>
        <w:pStyle w:val="ListBullet2"/>
      </w:pPr>
      <w:r>
        <w:t>The declaration is a living document: refreshed on material change and at</w:t>
      </w:r>
      <w:r>
        <w:br/>
      </w:r>
      <w:r>
        <w:t>least every six months, with the company keeping a simple register.</w:t>
      </w:r>
      <w:r>
        <w:br/>
      </w:r>
      <w:r>
        <w:t>Good-faith disclosure is always safe; only concealment of a known, material</w:t>
      </w:r>
      <w:r>
        <w:br/>
      </w:r>
      <w:r>
        <w:t>interest is a breach.</w:t>
      </w:r>
    </w:p>
    <w:p>
      <w:pPr>
        <w:pStyle w:val="Heading2"/>
      </w:pPr>
      <w:r>
        <w:t>8. Conditions precedent</w:t>
      </w:r>
    </w:p>
    <w:p>
      <w:pPr>
        <w:ind w:left="360"/>
      </w:pPr>
      <w:r>
        <w:t>1. Executed Founders' Shareholders' Agreement (Kenyan advocate drafted).</w:t>
      </w:r>
    </w:p>
    <w:p>
      <w:pPr>
        <w:ind w:left="360"/>
      </w:pPr>
      <w:r>
        <w:t>2. Declaration of interests (clause 7).</w:t>
      </w:r>
    </w:p>
    <w:p>
      <w:pPr>
        <w:ind w:left="360"/>
      </w:pPr>
      <w:r>
        <w:t>3. Director protections in place: D&amp;O insurance bound (or a written company</w:t>
      </w:r>
    </w:p>
    <w:p>
      <w:r>
        <w:t>indemnity to the fullest extent permitted by the Companies Act 2015), before</w:t>
      </w:r>
    </w:p>
    <w:p>
      <w:r>
        <w:t>board appointment paperwork is filed.</w:t>
      </w:r>
    </w:p>
    <w:p>
      <w:r>
        <w:rPr>
          <w:b/>
        </w:rPr>
        <w:t>External counsel costs.</w:t>
      </w:r>
      <w:r>
        <w:t xml:space="preserve"> The advocate for the Founders' Shareholders'</w:t>
      </w:r>
    </w:p>
    <w:p>
      <w:r>
        <w:t xml:space="preserve">Agreement is jointly retained and instructed by </w:t>
      </w:r>
      <w:r>
        <w:rPr>
          <w:b/>
        </w:rPr>
        <w:t>the company</w:t>
      </w:r>
      <w:r>
        <w:t>, and those fees</w:t>
      </w:r>
    </w:p>
    <w:p>
      <w:r>
        <w:t xml:space="preserve">are an </w:t>
      </w:r>
      <w:r>
        <w:rPr>
          <w:b/>
        </w:rPr>
        <w:t>operational expense of BuddyUp Ltd.</w:t>
      </w:r>
      <w:r>
        <w:t xml:space="preserve"> — not a founder personal cost.</w:t>
      </w:r>
    </w:p>
    <w:p>
      <w:r>
        <w:t>The engagement letter (scope, fee estimate and any cap) will be confirmed in</w:t>
      </w:r>
    </w:p>
    <w:p>
      <w:r>
        <w:t xml:space="preserve">writing and shared with all founders </w:t>
      </w:r>
      <w:r>
        <w:rPr>
          <w:b/>
        </w:rPr>
        <w:t>before</w:t>
      </w:r>
      <w:r>
        <w:t xml:space="preserve"> instruction. Any separate</w:t>
      </w:r>
    </w:p>
    <w:p>
      <w:r>
        <w:t>personal-review advocate a founder chooses to engage for their own side review is</w:t>
      </w:r>
    </w:p>
    <w:p>
      <w:r>
        <w:t>at that founder's own cost.</w:t>
      </w:r>
    </w:p>
    <w:p>
      <w:pPr>
        <w:pStyle w:val="Heading2"/>
      </w:pPr>
      <w:r>
        <w:t>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For BuddyUp Ltd.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Candidate</w:t>
            </w:r>
          </w:p>
        </w:tc>
      </w:tr>
      <w:tr>
        <w:tc>
          <w:tcPr>
            <w:tcW w:type="dxa" w:w="4320"/>
          </w:tcPr>
          <w:p>
            <w:r>
              <w:t>Name: Peter Mbugua</w:t>
            </w:r>
          </w:p>
        </w:tc>
        <w:tc>
          <w:tcPr>
            <w:tcW w:type="dxa" w:w="4320"/>
          </w:tcPr>
          <w:p>
            <w:r>
              <w:t>Name: [Full legal name]</w:t>
            </w:r>
          </w:p>
        </w:tc>
      </w:tr>
      <w:tr>
        <w:tc>
          <w:tcPr>
            <w:tcW w:type="dxa" w:w="4320"/>
          </w:tcPr>
          <w:p>
            <w:r>
              <w:t>Title: Cofounder &amp; CEO</w:t>
            </w:r>
          </w:p>
        </w:tc>
        <w:tc>
          <w:tcPr>
            <w:tcW w:type="dxa" w:w="4320"/>
          </w:tcPr>
          <w:p>
            <w:r>
              <w:t>ID/Passport: [●]</w:t>
            </w:r>
          </w:p>
        </w:tc>
      </w:tr>
      <w:tr>
        <w:tc>
          <w:tcPr>
            <w:tcW w:type="dxa" w:w="4320"/>
          </w:tcPr>
          <w:p>
            <w:r>
              <w:t>Signature: ________________ Date: ______</w:t>
            </w:r>
          </w:p>
        </w:tc>
        <w:tc>
          <w:tcPr>
            <w:tcW w:type="dxa" w:w="4320"/>
          </w:tcPr>
          <w:p>
            <w:r>
              <w:t>Signature: ________________ Date: ______</w:t>
            </w:r>
          </w:p>
        </w:tc>
      </w:tr>
    </w:tbl>
    <w:p/>
    <w:p>
      <w:pPr>
        <w:pStyle w:val="Heading2"/>
      </w:pPr>
      <w:r>
        <w:t>Annex A — Vesting schedule</w:t>
      </w:r>
      <w:r>
        <w:br/>
      </w:r>
      <w:r>
        <w:rPr>
          <w:i/>
        </w:rPr>
        <w:t>(Identical to the annex in every founder agreement; reproduced here for completeness.)</w:t>
      </w:r>
    </w:p>
    <w:p>
      <w:pPr>
        <w:ind w:left="360"/>
      </w:pPr>
      <w:r>
        <w:t xml:space="preserve">1. </w:t>
      </w:r>
      <w:r>
        <w:rPr>
          <w:b/>
        </w:rPr>
        <w:t>Grant:</w:t>
      </w:r>
      <w:r>
        <w:t xml:space="preserve"> 16% of the fully-diluted capital of BuddyUp Ltd. as at the start</w:t>
      </w:r>
    </w:p>
    <w:p>
      <w:r>
        <w:t>date, recorded in the share register. Identical for every founder seat.</w:t>
      </w:r>
    </w:p>
    <w:p>
      <w:pPr>
        <w:ind w:left="360"/>
      </w:pPr>
      <w:r>
        <w:t xml:space="preserve">2. </w:t>
      </w:r>
      <w:r>
        <w:rPr>
          <w:b/>
        </w:rPr>
        <w:t>Cliff:</w:t>
      </w:r>
      <w:r>
        <w:t xml:space="preserve"> no shares vest before the 12-month anniversary of the start date.</w:t>
      </w:r>
    </w:p>
    <w:p>
      <w:r>
        <w:t>On passing the cliff, 25% vests retroactively; the remainder vests monthly</w:t>
      </w:r>
    </w:p>
    <w:p>
      <w:r>
        <w:t>over the following 36 months.</w:t>
      </w:r>
    </w:p>
    <w:p>
      <w:pPr>
        <w:ind w:left="360"/>
      </w:pPr>
      <w:r>
        <w:t xml:space="preserve">3. </w:t>
      </w:r>
      <w:r>
        <w:rPr>
          <w:b/>
        </w:rPr>
        <w:t>Leavers:</w:t>
      </w:r>
    </w:p>
    <w:p>
      <w:pPr>
        <w:pStyle w:val="ListBullet2"/>
      </w:pPr>
      <w:r>
        <w:rPr>
          <w:b/>
        </w:rPr>
        <w:t>Good leaver</w:t>
      </w:r>
      <w:r>
        <w:t xml:space="preserve"> — by default, every departure that is not a bad leaver is</w:t>
      </w:r>
      <w:r>
        <w:br/>
      </w:r>
      <w:r>
        <w:t>treated as a good leaver. Explicit examples: death or serious illness,</w:t>
      </w:r>
      <w:r>
        <w:br/>
      </w:r>
      <w:r>
        <w:t>mutual agreement, role eliminated, resignation for good reason (material</w:t>
      </w:r>
      <w:r>
        <w:br/>
      </w:r>
      <w:r>
        <w:t>reduction in agreed role/commitment, unpaid equity terms, or a change the</w:t>
      </w:r>
      <w:r>
        <w:br/>
      </w:r>
      <w:r>
        <w:t>founder did not consent to). Treatment: vested shares retained; unvested</w:t>
      </w:r>
      <w:r>
        <w:br/>
      </w:r>
      <w:r>
        <w:t>cancelled or partly accelerated at board discretion.</w:t>
      </w:r>
    </w:p>
    <w:p>
      <w:pPr>
        <w:pStyle w:val="ListBullet2"/>
      </w:pPr>
      <w:r>
        <w:rPr>
          <w:b/>
        </w:rPr>
        <w:t>Bad leaver</w:t>
      </w:r>
      <w:r>
        <w:t xml:space="preserve"> — only the following, determined by majority of the</w:t>
      </w:r>
      <w:r>
        <w:br/>
      </w:r>
      <w:r>
        <w:t>non-affected founders (or the board where independent):</w:t>
      </w:r>
    </w:p>
    <w:p>
      <w:pPr>
        <w:ind w:left="864"/>
      </w:pPr>
      <w:r>
        <w:t>(a) gross misconduct or fraud;</w:t>
      </w:r>
    </w:p>
    <w:p>
      <w:pPr>
        <w:ind w:left="864"/>
      </w:pPr>
      <w:r>
        <w:t>(b) conviction of an offence involving dishonesty;</w:t>
      </w:r>
    </w:p>
    <w:p>
      <w:pPr>
        <w:ind w:left="864"/>
      </w:pPr>
      <w:r>
        <w:t>(c) material breach of this agreement or the shareholders' agreement</w:t>
      </w:r>
    </w:p>
    <w:p>
      <w:r>
        <w:t>(including concealment of a known, material interest declared under</w:t>
      </w:r>
    </w:p>
    <w:p>
      <w:r>
        <w:t>clause 7, or breach of confidentiality/IP assignment);</w:t>
      </w:r>
    </w:p>
    <w:p>
      <w:pPr>
        <w:ind w:left="864"/>
      </w:pPr>
      <w:r>
        <w:t xml:space="preserve">(d) resignation </w:t>
      </w:r>
      <w:r>
        <w:rPr>
          <w:b/>
        </w:rPr>
        <w:t>without good reason</w:t>
      </w:r>
      <w:r>
        <w:t xml:space="preserve"> within the first 24 months after</w:t>
      </w:r>
    </w:p>
    <w:p>
      <w:r>
        <w:t>the cliff;</w:t>
      </w:r>
    </w:p>
    <w:p>
      <w:pPr>
        <w:ind w:left="864"/>
      </w:pPr>
      <w:r>
        <w:t>(e) persistent failure to meet the agreed commitment after written warning</w:t>
      </w:r>
    </w:p>
    <w:p>
      <w:r>
        <w:t>and a 30-day cure period; or</w:t>
      </w:r>
    </w:p>
    <w:p>
      <w:pPr>
        <w:ind w:left="864"/>
      </w:pPr>
      <w:r>
        <w:t>(f) conduct that seriously damages the company's reputation or regulatory</w:t>
      </w:r>
    </w:p>
    <w:p>
      <w:r>
        <w:t>standing.</w:t>
      </w:r>
    </w:p>
    <w:p>
      <w:r>
        <w:t>Treatment: unvested shares cancel; vested shares are **bought back at fair</w:t>
      </w:r>
    </w:p>
    <w:p>
      <w:r>
        <w:t>market value** — determined by an independent valuator jointly appointed by</w:t>
      </w:r>
    </w:p>
    <w:p>
      <w:r>
        <w:t>the company and the leaver, or, if an arm's-length financing or valuation</w:t>
      </w:r>
    </w:p>
    <w:p>
      <w:r>
        <w:t>occurred within the preceding 12 months, at that round's price per share.</w:t>
      </w:r>
    </w:p>
    <w:p>
      <w:r>
        <w:t>Proceeds are payable within 60 days of the valuation. Anything not listed</w:t>
      </w:r>
    </w:p>
    <w:p>
      <w:r>
        <w:t>above cannot be treated as bad-leaver conduct.</w:t>
      </w:r>
    </w:p>
    <w:p>
      <w:pPr>
        <w:ind w:left="360"/>
      </w:pPr>
      <w:r>
        <w:t xml:space="preserve">4. </w:t>
      </w:r>
      <w:r>
        <w:rPr>
          <w:b/>
        </w:rPr>
        <w:t>Acceleration:</w:t>
      </w:r>
      <w:r>
        <w:t xml:space="preserve"> single-trigger acceleration is not offered; **double-trigger</w:t>
      </w:r>
    </w:p>
    <w:p>
      <w:r>
        <w:t>(change of control + termination without cause, or resignation for good</w:t>
      </w:r>
    </w:p>
    <w:p>
      <w:r>
        <w:t>reason following a change of control) accelerates 100% of unvested shares.**</w:t>
      </w:r>
    </w:p>
    <w:p>
      <w:r>
        <w:t>A change of control alone does not accelerate anything.</w:t>
      </w:r>
    </w:p>
    <w:p>
      <w:pPr>
        <w:ind w:left="360"/>
      </w:pPr>
      <w:r>
        <w:t xml:space="preserve">5. </w:t>
      </w:r>
      <w:r>
        <w:rPr>
          <w:b/>
        </w:rPr>
        <w:t>Dilution:</w:t>
      </w:r>
      <w:r>
        <w:t xml:space="preserve"> a </w:t>
      </w:r>
      <w:r>
        <w:rPr>
          <w:b/>
        </w:rPr>
        <w:t>20% unallocated reserve</w:t>
      </w:r>
      <w:r>
        <w:t xml:space="preserve"> (future hires / option pool) is</w:t>
      </w:r>
    </w:p>
    <w:p>
      <w:r>
        <w:t>created at incorporation, so future option grants are funded from the reserve</w:t>
      </w:r>
    </w:p>
    <w:p>
      <w:r>
        <w:t>rather than by further diluting founders. Future investment rounds dilute all</w:t>
      </w:r>
    </w:p>
    <w:p>
      <w:r>
        <w:t>holders pro rata. Any top-up of the pool beyond 20%, or any pool creation from</w:t>
      </w:r>
    </w:p>
    <w:p>
      <w:r>
        <w:t>founder holdings, requires unanimous founder consent.</w:t>
      </w:r>
    </w:p>
    <w:p>
      <w:pPr>
        <w:ind w:left="360"/>
      </w:pPr>
      <w:r>
        <w:t xml:space="preserve">6. </w:t>
      </w:r>
      <w:r>
        <w:rPr>
          <w:b/>
        </w:rPr>
        <w:t>Lock-in:</w:t>
      </w:r>
      <w:r>
        <w:t xml:space="preserve"> founders may not transfer shares other than per the shareholders'</w:t>
      </w:r>
    </w:p>
    <w:p>
      <w:r>
        <w:t>agreement (pre-emption rights apply).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