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Cofounder Agreement —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Review date</w:t>
            </w:r>
          </w:p>
        </w:tc>
      </w:tr>
      <w:tr>
        <w:tc>
          <w:tcPr>
            <w:tcW w:type="dxa" w:w="4320"/>
          </w:tcPr>
          <w:p>
            <w:r>
              <w:t>Peter Mbugua (CEO); incoming Security cofounder on appointment</w:t>
            </w:r>
          </w:p>
        </w:tc>
        <w:tc>
          <w:tcPr>
            <w:tcW w:type="dxa" w:w="4320"/>
          </w:tcPr>
          <w:p>
            <w:r>
              <w:t>2026-09-30</w:t>
            </w:r>
          </w:p>
        </w:tc>
      </w:tr>
    </w:tbl>
    <w:p/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Candidate</w:t>
            </w:r>
          </w:p>
        </w:tc>
        <w:tc>
          <w:tcPr>
            <w:tcW w:type="dxa" w:w="4320"/>
          </w:tcPr>
          <w:p>
            <w:r>
              <w:t>[Full legal name], ID/Passport No. [●]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Cofounder — Security Engineering &amp; Trust</w:t>
            </w:r>
          </w:p>
        </w:tc>
      </w:tr>
      <w:tr>
        <w:tc>
          <w:tcPr>
            <w:tcW w:type="dxa" w:w="4320"/>
          </w:tcPr>
          <w:p>
            <w:r>
              <w:t>Proposed equity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16%</w:t>
            </w:r>
            <w:r>
              <w:t xml:space="preserve"> of fully-diluted share capital at grant, subject to the vesting terms in Annex A</w:t>
            </w:r>
          </w:p>
        </w:tc>
      </w:tr>
      <w:tr>
        <w:tc>
          <w:tcPr>
            <w:tcW w:type="dxa" w:w="4320"/>
          </w:tcPr>
          <w:p>
            <w:r>
              <w:t>Commitment</w:t>
            </w:r>
          </w:p>
        </w:tc>
        <w:tc>
          <w:tcPr>
            <w:tcW w:type="dxa" w:w="4320"/>
          </w:tcPr>
          <w:p>
            <w:r>
              <w:t xml:space="preserve">Part-time — minimum </w:t>
            </w:r>
            <w:r>
              <w:rPr>
                <w:b/>
              </w:rPr>
              <w:t>10 hours per week</w:t>
            </w:r>
            <w:r>
              <w:t xml:space="preserve"> (Clause 4)</w:t>
            </w:r>
          </w:p>
        </w:tc>
      </w:tr>
      <w:tr>
        <w:tc>
          <w:tcPr>
            <w:tcW w:type="dxa" w:w="4320"/>
          </w:tcPr>
          <w:p>
            <w:r>
              <w:t>Vesting</w:t>
            </w:r>
          </w:p>
        </w:tc>
        <w:tc>
          <w:tcPr>
            <w:tcW w:type="dxa" w:w="4320"/>
          </w:tcPr>
          <w:p>
            <w:r>
              <w:t>4 years monthly, 1-year cliff (Annex A)</w:t>
            </w:r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>
              <w:t>[●]</w:t>
            </w:r>
          </w:p>
        </w:tc>
      </w:tr>
      <w:tr>
        <w:tc>
          <w:tcPr>
            <w:tcW w:type="dxa" w:w="4320"/>
          </w:tcPr>
          <w:p>
            <w:r>
              <w:t>Reporting line</w:t>
            </w:r>
          </w:p>
        </w:tc>
        <w:tc>
          <w:tcPr>
            <w:tcW w:type="dxa" w:w="4320"/>
          </w:tcPr>
          <w:p>
            <w:r>
              <w:t>CEO / Board of BuddyUp Ltd.</w:t>
            </w:r>
          </w:p>
        </w:tc>
      </w:tr>
    </w:tbl>
    <w:p/>
    <w:p>
      <w:pPr>
        <w:ind w:left="432"/>
      </w:pPr>
      <w:r>
        <w:rPr>
          <w:b/>
        </w:rPr>
        <w:t>Status:</w:t>
      </w:r>
      <w:r>
        <w:t xml:space="preserve"> This is an invitation to join the founding team and a summary of proposed</w:t>
      </w:r>
    </w:p>
    <w:p>
      <w:pPr>
        <w:ind w:left="432"/>
      </w:pPr>
      <w:r>
        <w:t>terms. It is not a shareholders' agreement, not an employment contract, and not legal</w:t>
      </w:r>
    </w:p>
    <w:p>
      <w:pPr>
        <w:ind w:left="432"/>
      </w:pPr>
      <w:r>
        <w:t>advice. It becomes binding only when superseded by the executed Founders'</w:t>
      </w:r>
    </w:p>
    <w:p>
      <w:pPr>
        <w:ind w:left="432"/>
      </w:pPr>
      <w:r>
        <w:t>Shareholders' Agreement (Kenyan law) that all founders will sign together.</w:t>
      </w:r>
    </w:p>
    <w:p>
      <w:pPr>
        <w:pStyle w:val="Heading2"/>
      </w:pPr>
      <w:r>
        <w:t>Founding team &amp; ownership</w:t>
      </w:r>
      <w:r>
        <w:br/>
      </w:r>
      <w:r>
        <w:t>The founding team holds 80% of BuddyUp Ltd. at incorporation, with a **20%</w:t>
      </w:r>
      <w:r>
        <w:br/>
      </w:r>
      <w:r>
        <w:t>unallocated reserve** for future hires and the option pool. All five founder</w:t>
      </w:r>
      <w:r>
        <w:br/>
      </w:r>
      <w:r>
        <w:t xml:space="preserve">seats hold an </w:t>
      </w:r>
      <w:r>
        <w:rPr>
          <w:b/>
        </w:rPr>
        <w:t>equal 16%</w:t>
      </w:r>
      <w:r>
        <w:t xml:space="preserve"> — the YC-recommended structure — split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Equity</w:t>
            </w:r>
          </w:p>
        </w:tc>
      </w:tr>
      <w:tr>
        <w:tc>
          <w:tcPr>
            <w:tcW w:type="dxa" w:w="2880"/>
          </w:tcPr>
          <w:p>
            <w:r>
              <w:t>Cofounder &amp; CEO — Engineering</w:t>
            </w:r>
          </w:p>
        </w:tc>
        <w:tc>
          <w:tcPr>
            <w:tcW w:type="dxa" w:w="2880"/>
          </w:tcPr>
          <w:p>
            <w:r>
              <w:t>Peter Mbugua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Security Engineering &amp; Trust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(this offer — [Full legal name])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Marketing, Sales &amp; Partnerships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Finance, Strategy &amp; Controller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Legal, Compliance &amp; Research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Unallocated reserve (future hires / option pool)</w:t>
            </w:r>
          </w:p>
        </w:tc>
        <w:tc>
          <w:tcPr>
            <w:tcW w:type="dxa" w:w="2880"/>
          </w:tcPr>
          <w:p>
            <w:r>
              <w:t>held for unanimous founder 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/>
    <w:p>
      <w:r>
        <w:t xml:space="preserve">The reserve is set at </w:t>
      </w:r>
      <w:r>
        <w:rPr>
          <w:b/>
        </w:rPr>
        <w:t>20%</w:t>
      </w:r>
      <w:r>
        <w:t xml:space="preserve"> — the market range for an early-stage option pool —</w:t>
      </w:r>
    </w:p>
    <w:p>
      <w:r>
        <w:t xml:space="preserve">and is created </w:t>
      </w:r>
      <w:r>
        <w:rPr>
          <w:b/>
        </w:rPr>
        <w:t>at incorporation</w:t>
      </w:r>
      <w:r>
        <w:t xml:space="preserve"> so that future hires and stock options are</w:t>
      </w:r>
    </w:p>
    <w:p>
      <w:r>
        <w:t>funded from the reserve instead of diluting founders later. Any top-up beyond 20%</w:t>
      </w:r>
    </w:p>
    <w:p>
      <w:r>
        <w:t>requires unanimous founder consent (Annex A, clause 5). Equal equity reflects the</w:t>
      </w:r>
    </w:p>
    <w:p>
      <w:r>
        <w:t xml:space="preserve">work done </w:t>
      </w:r>
      <w:r>
        <w:rPr>
          <w:i/>
        </w:rPr>
        <w:t>after</w:t>
      </w:r>
      <w:r>
        <w:t xml:space="preserve"> the start date; the CEO's pre-founding build is acknowledged</w:t>
      </w:r>
    </w:p>
    <w:p>
      <w:r>
        <w:t>through role and casting-vote authority, not extra equity. Percentages above are</w:t>
      </w:r>
    </w:p>
    <w:p>
      <w:r>
        <w:t>indicative pending the Founders' Shareholders' Agreement.</w:t>
      </w:r>
    </w:p>
    <w:p>
      <w:r>
        <w:t>All founder equity vests on identical terms (Annex A). No seat carries special</w:t>
      </w:r>
    </w:p>
    <w:p>
      <w:r>
        <w:t>voting or economic rights beyond the shareholders' agreement.</w:t>
      </w:r>
    </w:p>
    <w:p>
      <w:pPr>
        <w:pStyle w:val="Heading2"/>
      </w:pPr>
      <w:r>
        <w:t>1. Why this seat exists</w:t>
      </w:r>
      <w:r>
        <w:br/>
      </w:r>
      <w:r>
        <w:t>BuddyUp's differentiator is trust: age controls, identity verification, mutual</w:t>
      </w:r>
      <w:r>
        <w:br/>
      </w:r>
      <w:r>
        <w:t>messaging, payment integrity, moderation. Trust that gets broken once — a leaked</w:t>
      </w:r>
      <w:r>
        <w:br/>
      </w:r>
      <w:r>
        <w:t>verification document, a drained wallet flow, a hijacked live stream — ends the</w:t>
      </w:r>
      <w:r>
        <w:br/>
      </w:r>
      <w:r>
        <w:t>company in this market.</w:t>
      </w:r>
      <w:r>
        <w:br/>
      </w:r>
      <w:r>
        <w:t>The stack is real and live: Django/DRF + Postgres + Redis/Celery behind nginx,</w:t>
      </w:r>
      <w:r>
        <w:br/>
      </w:r>
      <w:r>
        <w:t>Flutter + React clients, self-hosted LiveKit media with TURN, Flutterwave/M-PESA</w:t>
      </w:r>
      <w:r>
        <w:br/>
      </w:r>
      <w:r>
        <w:t>payment rails, JWT auth with TOTP, WebAuthn passkeys, recovery codes, device sessions,</w:t>
      </w:r>
      <w:r>
        <w:br/>
      </w:r>
      <w:r>
        <w:t>rate-limited WebSocket consumers, Cloudinary storage with validated uploads.</w:t>
      </w:r>
      <w:r>
        <w:br/>
      </w:r>
      <w:r>
        <w:t>Security here is not a checklist to add later; it is a system to operate daily.</w:t>
      </w:r>
    </w:p>
    <w:p>
      <w:pPr>
        <w:pStyle w:val="Heading2"/>
      </w:pPr>
      <w:r>
        <w:t>2. Mandate</w:t>
      </w:r>
      <w:r>
        <w:br/>
      </w:r>
      <w:r>
        <w:t>Own security end-to-end — as an engineer who ships, not a policy author:</w:t>
      </w:r>
    </w:p>
    <w:p>
      <w:pPr>
        <w:ind w:left="360"/>
      </w:pPr>
      <w:r>
        <w:t xml:space="preserve">1. </w:t>
      </w:r>
      <w:r>
        <w:rPr>
          <w:b/>
        </w:rPr>
        <w:t>Application &amp; platform security</w:t>
      </w:r>
    </w:p>
    <w:p>
      <w:pPr>
        <w:pStyle w:val="ListBullet2"/>
      </w:pPr>
      <w:r>
        <w:t>Own the threat model for every feature before launch (STRIDE-level thinking on</w:t>
      </w:r>
      <w:r>
        <w:br/>
      </w:r>
      <w:r>
        <w:t>messaging, calls, marketplace, wallets, verification documents).</w:t>
      </w:r>
    </w:p>
    <w:p>
      <w:pPr>
        <w:pStyle w:val="ListBullet2"/>
      </w:pPr>
      <w:r>
        <w:t>Enforce secure defaults in CI: lint gates, dependency scanning, secret hygiene,</w:t>
      </w:r>
      <w:r>
        <w:br/>
      </w:r>
      <w:r>
        <w:t>migration review.</w:t>
      </w:r>
    </w:p>
    <w:p>
      <w:pPr>
        <w:pStyle w:val="ListBullet2"/>
      </w:pPr>
      <w:r>
        <w:t>Run the hardening backlog: rate limits, object-level authorization audits,</w:t>
      </w:r>
      <w:r>
        <w:br/>
      </w:r>
      <w:r>
        <w:t>upload validation, webhook signature verification (Flutterwave et al.), session</w:t>
      </w:r>
      <w:r>
        <w:br/>
      </w:r>
      <w:r>
        <w:t>lifecycle, admin surface exposure.</w:t>
      </w:r>
    </w:p>
    <w:p>
      <w:pPr>
        <w:ind w:left="360"/>
      </w:pPr>
      <w:r>
        <w:t xml:space="preserve">2. </w:t>
      </w:r>
      <w:r>
        <w:rPr>
          <w:b/>
        </w:rPr>
        <w:t>Payments &amp; fraud</w:t>
      </w:r>
    </w:p>
    <w:p>
      <w:pPr>
        <w:pStyle w:val="ListBullet2"/>
      </w:pPr>
      <w:r>
        <w:t>Co-own reconciliation integrity with the Finance cofounder; webhook replay/</w:t>
      </w:r>
      <w:r>
        <w:br/>
      </w:r>
      <w:r>
        <w:t>tampering resistance; anti-double-credit locks; refund-abuse controls.</w:t>
      </w:r>
    </w:p>
    <w:p>
      <w:pPr>
        <w:pStyle w:val="ListBullet2"/>
      </w:pPr>
      <w:r>
        <w:t>Define fraud rules for artifact economy abuse without turning artifacts into</w:t>
      </w:r>
      <w:r>
        <w:br/>
      </w:r>
      <w:r>
        <w:t>regulated stored value.</w:t>
      </w:r>
    </w:p>
    <w:p>
      <w:pPr>
        <w:ind w:left="360"/>
      </w:pPr>
      <w:r>
        <w:t xml:space="preserve">3. </w:t>
      </w:r>
      <w:r>
        <w:rPr>
          <w:b/>
        </w:rPr>
        <w:t>Data protection engineering</w:t>
      </w:r>
    </w:p>
    <w:p>
      <w:pPr>
        <w:pStyle w:val="ListBullet2"/>
      </w:pPr>
      <w:r>
        <w:t>Jointly own breach detection/notification runbooks with the Legal cofounder;</w:t>
      </w:r>
      <w:r>
        <w:br/>
      </w:r>
      <w:r>
        <w:t>encryption at rest/in transit posture; verification-document handling</w:t>
      </w:r>
      <w:r>
        <w:br/>
      </w:r>
      <w:r>
        <w:t>(shortest-lived access, audit logs).</w:t>
      </w:r>
    </w:p>
    <w:p>
      <w:pPr>
        <w:ind w:left="360"/>
      </w:pPr>
      <w:r>
        <w:t xml:space="preserve">4. </w:t>
      </w:r>
      <w:r>
        <w:rPr>
          <w:b/>
        </w:rPr>
        <w:t>Incident response</w:t>
      </w:r>
    </w:p>
    <w:p>
      <w:pPr>
        <w:pStyle w:val="ListBullet2"/>
      </w:pPr>
      <w:r>
        <w:t>Write and rehearse the IR plan (who calls whom in the first hour); lead the</w:t>
      </w:r>
      <w:r>
        <w:br/>
      </w:r>
      <w:r>
        <w:t>on-call rotation; publish post-mortems internally without blame.</w:t>
      </w:r>
    </w:p>
    <w:p>
      <w:pPr>
        <w:ind w:left="360"/>
      </w:pPr>
      <w:r>
        <w:t xml:space="preserve">5. </w:t>
      </w:r>
      <w:r>
        <w:rPr>
          <w:b/>
        </w:rPr>
        <w:t>Assurance</w:t>
      </w:r>
    </w:p>
    <w:p>
      <w:pPr>
        <w:pStyle w:val="ListBullet2"/>
      </w:pPr>
      <w:r>
        <w:t>Quarterly internal review + annual third-party assessment when revenue allows.</w:t>
      </w:r>
    </w:p>
    <w:p>
      <w:pPr>
        <w:pStyle w:val="ListBullet2"/>
      </w:pPr>
      <w:r>
        <w:t>Maintain the security section of partner/due-diligence documentation for sales</w:t>
      </w:r>
      <w:r>
        <w:br/>
      </w:r>
      <w:r>
        <w:t>and fundraising.</w:t>
      </w:r>
    </w:p>
    <w:p>
      <w:pPr>
        <w:pStyle w:val="Heading2"/>
      </w:pPr>
      <w:r>
        <w:t>3. Decision rights</w:t>
      </w:r>
    </w:p>
    <w:p>
      <w:pPr>
        <w:pStyle w:val="ListBullet"/>
      </w:pPr>
      <w:r>
        <w:rPr>
          <w:b/>
        </w:rPr>
        <w:t>Veto (with written reasons):</w:t>
      </w:r>
      <w:r>
        <w:t xml:space="preserve"> any launch that processes payments, verification</w:t>
      </w:r>
      <w:r>
        <w:br/>
      </w:r>
      <w:r>
        <w:t>documents or minors' data without meeting the agreed security baseline.</w:t>
      </w:r>
    </w:p>
    <w:p>
      <w:pPr>
        <w:pStyle w:val="ListBullet"/>
      </w:pPr>
      <w:r>
        <w:rPr>
          <w:b/>
        </w:rPr>
        <w:t>Owns:</w:t>
      </w:r>
      <w:r>
        <w:t xml:space="preserve"> security tooling budget within plan, incident declarations,</w:t>
      </w:r>
      <w:r>
        <w:br/>
      </w:r>
      <w:r>
        <w:t>emergency mitigation actions (including taking a feature offline), secrets policy.</w:t>
      </w:r>
    </w:p>
    <w:p>
      <w:pPr>
        <w:pStyle w:val="ListBullet"/>
      </w:pPr>
      <w:r>
        <w:rPr>
          <w:b/>
        </w:rPr>
        <w:t>Joint sign-off:</w:t>
      </w:r>
      <w:r>
        <w:t xml:space="preserve"> new third-party processors handling user data (with Legal),</w:t>
      </w:r>
      <w:r>
        <w:br/>
      </w:r>
      <w:r>
        <w:t>production infrastructure changes affecting data residency.</w:t>
      </w:r>
      <w:r>
        <w:br/>
      </w:r>
      <w:r>
        <w:t>You will be measured on shipped protections and incident outcomes — never on</w:t>
      </w:r>
      <w:r>
        <w:br/>
      </w:r>
      <w:r>
        <w:t>bureaucracy. The veto exists so you can say "not yet" and be thanked for it.</w:t>
      </w:r>
    </w:p>
    <w:p>
      <w:pPr>
        <w:pStyle w:val="Heading3"/>
      </w:pPr>
      <w:r>
        <w:t>Deadlocks &amp; the CEO casting vote</w:t>
      </w:r>
      <w:r>
        <w:br/>
      </w:r>
      <w:r>
        <w:t>Each founder decides their own domain (above). For cross-domain or company-level</w:t>
      </w:r>
      <w:r>
        <w:br/>
      </w:r>
      <w:r>
        <w:t>decisions that deadlock after genuine discussion:</w:t>
      </w:r>
    </w:p>
    <w:p>
      <w:pPr>
        <w:ind w:left="360"/>
      </w:pPr>
      <w:r>
        <w:t>1. Each position is written down with reasons and evidence (one page max).</w:t>
      </w:r>
    </w:p>
    <w:p>
      <w:pPr>
        <w:ind w:left="360"/>
      </w:pPr>
      <w:r>
        <w:t>2. A 48-hour cool-off follows; most disagreements dissolve here.</w:t>
      </w:r>
    </w:p>
    <w:p>
      <w:pPr>
        <w:ind w:left="360"/>
      </w:pPr>
      <w:r>
        <w:t xml:space="preserve">3. If not, the </w:t>
      </w:r>
      <w:r>
        <w:rPr>
          <w:b/>
        </w:rPr>
        <w:t>CEO casts the deciding vote</w:t>
      </w:r>
      <w:r>
        <w:t>, with written reasons within five</w:t>
      </w:r>
    </w:p>
    <w:p>
      <w:r>
        <w:t>working days.</w:t>
      </w:r>
    </w:p>
    <w:p>
      <w:pPr>
        <w:ind w:left="360"/>
      </w:pPr>
      <w:r>
        <w:t xml:space="preserve">4. The decision is recorded in writing and everyone </w:t>
      </w:r>
      <w:r>
        <w:rPr>
          <w:b/>
        </w:rPr>
        <w:t>disagrees and commits</w:t>
      </w:r>
      <w:r>
        <w:t xml:space="preserve"> —</w:t>
      </w:r>
    </w:p>
    <w:p>
      <w:r>
        <w:t>no relitigating.</w:t>
      </w:r>
    </w:p>
    <w:p>
      <w:pPr>
        <w:ind w:left="360"/>
      </w:pPr>
      <w:r>
        <w:t>5. The CEO is recused from casting on decisions that directly affect the CEO's</w:t>
      </w:r>
    </w:p>
    <w:p>
      <w:r>
        <w:t>own equity, role or removal.</w:t>
      </w:r>
    </w:p>
    <w:p>
      <w:pPr>
        <w:ind w:left="360"/>
      </w:pPr>
      <w:r>
        <w:t xml:space="preserve">6. </w:t>
      </w:r>
      <w:r>
        <w:rPr>
          <w:b/>
        </w:rPr>
        <w:t>Reserved matters</w:t>
      </w:r>
      <w:r>
        <w:t xml:space="preserve"> are never settled by the casting vote alone — selling or</w:t>
      </w:r>
    </w:p>
    <w:p>
      <w:r>
        <w:t>dissolving the company, removing or adding a cofounder, changing the equity</w:t>
      </w:r>
    </w:p>
    <w:p>
      <w:r>
        <w:t>split, or removing the CEO follow the Founders' Shareholders' Agreement.</w:t>
      </w:r>
    </w:p>
    <w:p>
      <w:r>
        <w:t>Rationale and options analysis: [</w:t>
      </w:r>
      <w:r>
        <w:rPr>
          <w:rFonts w:ascii="Consolas" w:hAnsi="Consolas"/>
        </w:rPr>
        <w:t>README.md</w:t>
      </w:r>
      <w:r>
        <w:t>](README.md) — "Decision-making &amp; the</w:t>
      </w:r>
    </w:p>
    <w:p>
      <w:r>
        <w:t>CEO casting vote". The mechanism becomes binding in the shareholders' agreement.</w:t>
      </w:r>
    </w:p>
    <w:p>
      <w:pPr>
        <w:pStyle w:val="Heading2"/>
      </w:pPr>
      <w:r>
        <w:t>4. Commitment</w:t>
      </w:r>
    </w:p>
    <w:p>
      <w:pPr>
        <w:pStyle w:val="ListBullet"/>
      </w:pPr>
      <w:r>
        <w:rPr>
          <w:b/>
        </w:rPr>
        <w:t>Part-time founding role:</w:t>
      </w:r>
      <w:r>
        <w:t xml:space="preserve"> you commit a minimum of </w:t>
      </w:r>
      <w:r>
        <w:rPr>
          <w:b/>
        </w:rPr>
        <w:t>10 hours per week</w:t>
      </w:r>
      <w:r>
        <w:t xml:space="preserve"> on</w:t>
      </w:r>
      <w:r>
        <w:br/>
      </w:r>
      <w:r>
        <w:t>average, scheduled flexibly around existing commitments. This is a</w:t>
      </w:r>
      <w:r>
        <w:br/>
      </w:r>
      <w:r>
        <w:t>build-the-company seat with real deliverables, not an advisory arrangement.</w:t>
      </w:r>
      <w:r>
        <w:br/>
      </w:r>
      <w:r>
        <w:t>You still carry the pager from day one.</w:t>
      </w:r>
    </w:p>
    <w:p>
      <w:pPr>
        <w:pStyle w:val="ListBullet"/>
      </w:pPr>
      <w:r>
        <w:t xml:space="preserve">Commitment is measured by </w:t>
      </w:r>
      <w:r>
        <w:rPr>
          <w:b/>
        </w:rPr>
        <w:t>outcomes</w:t>
      </w:r>
      <w:r>
        <w:t xml:space="preserve"> — the mandate in clause 2 and the</w:t>
      </w:r>
      <w:r>
        <w:br/>
      </w:r>
      <w:r>
        <w:t>deliverables in clause 6 — not hours logged. Where an incident, launch or</w:t>
      </w:r>
      <w:r>
        <w:br/>
      </w:r>
      <w:r>
        <w:t>hardening push needs a focused effort, you make reasonable additional time</w:t>
      </w:r>
      <w:r>
        <w:br/>
      </w:r>
      <w:r>
        <w:t>available by prior agreement.</w:t>
      </w:r>
    </w:p>
    <w:p>
      <w:pPr>
        <w:pStyle w:val="ListBullet"/>
      </w:pPr>
      <w:r>
        <w:t>Commitment level is reviewed together after the foundations period; moving to</w:t>
      </w:r>
      <w:r>
        <w:br/>
      </w:r>
      <w:r>
        <w:t>full-time later is by mutual agreement as the company grows.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trial. Either side may part ways</w:t>
      </w:r>
      <w:r>
        <w:br/>
      </w:r>
      <w:r>
        <w:t>before day 90 with no vested equity and no ongoing obligations beyond confidentiality.</w:t>
      </w:r>
    </w:p>
    <w:p>
      <w:pPr>
        <w:pStyle w:val="ListBullet"/>
      </w:pPr>
      <w:r>
        <w:t>Directorship is expected once the shareholders' agreement is signed, and only</w:t>
      </w:r>
      <w:r>
        <w:br/>
      </w:r>
      <w:r>
        <w:t>after director protections are in place (D&amp;O insurance and/or an indemnity to</w:t>
      </w:r>
      <w:r>
        <w:br/>
      </w:r>
      <w:r>
        <w:t>the fullest extent permitted by the Companies Act 2015 — clause 8).</w:t>
      </w:r>
    </w:p>
    <w:p>
      <w:pPr>
        <w:pStyle w:val="Heading2"/>
      </w:pPr>
      <w:r>
        <w:t>5. Equity — summary</w:t>
      </w:r>
      <w:r>
        <w:br/>
      </w:r>
      <w:r>
        <w:t xml:space="preserve">Grant of </w:t>
      </w:r>
      <w:r>
        <w:rPr>
          <w:b/>
        </w:rPr>
        <w:t>16%</w:t>
      </w:r>
      <w:r>
        <w:t xml:space="preserve"> fully-diluted at grant — equal across all five founder seats —</w:t>
      </w:r>
      <w:r>
        <w:br/>
      </w:r>
      <w:r>
        <w:t>alongside a 20% unallocated reserve created at incorporation; vesting and leaver</w:t>
      </w:r>
      <w:r>
        <w:br/>
      </w:r>
      <w:r>
        <w:t>terms per Annex A (bad-leaver buy-back at fair market value). Equity subject to</w:t>
      </w:r>
      <w:r>
        <w:br/>
      </w:r>
      <w:r>
        <w:t>IP assignment (clause 7) and execution of the shareholders' agreement.</w:t>
      </w:r>
    </w:p>
    <w:p>
      <w:pPr>
        <w:pStyle w:val="Heading2"/>
      </w:pPr>
      <w:r>
        <w:t>6. First 90 days — success looks like</w:t>
      </w:r>
    </w:p>
    <w:p>
      <w:pPr>
        <w:ind w:left="360"/>
      </w:pPr>
      <w:r>
        <w:t>1. Threat model v2 documented for messaging/calls, marketplace+wallet, and</w:t>
      </w:r>
    </w:p>
    <w:p>
      <w:r>
        <w:t>verification flows — with top-10 risks triaged into the backlog.</w:t>
      </w:r>
    </w:p>
    <w:p>
      <w:pPr>
        <w:ind w:left="360"/>
      </w:pPr>
      <w:r>
        <w:t>2. CI security gates live: dependency scanning, secret scanning, ruff/eslint</w:t>
      </w:r>
    </w:p>
    <w:p>
      <w:r>
        <w:t>security profiles blocking merges.</w:t>
      </w:r>
    </w:p>
    <w:p>
      <w:pPr>
        <w:ind w:left="360"/>
      </w:pPr>
      <w:r>
        <w:t>3. Incident response plan v1 written and tabletop-exercised once with the founders.</w:t>
      </w:r>
    </w:p>
    <w:p>
      <w:pPr>
        <w:ind w:left="360"/>
      </w:pPr>
      <w:r>
        <w:t>4. External attack-surface review completed (nginx/TLS headers, LiveKit/TURN</w:t>
      </w:r>
    </w:p>
    <w:p>
      <w:r>
        <w:t>exposure, admin routes, webhook endpoints); findings fixed or scheduled.</w:t>
      </w:r>
    </w:p>
    <w:p>
      <w:pPr>
        <w:ind w:left="360"/>
      </w:pPr>
      <w:r>
        <w:t>5. Security one-pager published for partner due-diligence use.</w:t>
      </w:r>
    </w:p>
    <w:p>
      <w:r>
        <w:rPr>
          <w:b/>
        </w:rPr>
        <w:t>How the 90 days are measured — deliberately realistic:</w:t>
      </w:r>
    </w:p>
    <w:p>
      <w:pPr>
        <w:pStyle w:val="ListBullet"/>
      </w:pPr>
      <w:r>
        <w:t>Your obligation is to take each listed action with all reasonable skill and</w:t>
      </w:r>
      <w:r>
        <w:br/>
      </w:r>
      <w:r>
        <w:t>care, keep the founding team informed, and escalate blockers early.</w:t>
      </w:r>
    </w:p>
    <w:p>
      <w:pPr>
        <w:pStyle w:val="ListBullet"/>
      </w:pPr>
      <w:r>
        <w:t>Where a step depends on a third party (hosting providers, auditors, assessors,</w:t>
      </w:r>
      <w:r>
        <w:br/>
      </w:r>
      <w:r>
        <w:t>payment providers) and that party's processing exceeds its stated timeline,</w:t>
      </w:r>
      <w:r>
        <w:br/>
      </w:r>
      <w:r>
        <w:t>the deadline extends day-for-day **without the deliverable being treated as</w:t>
      </w:r>
      <w:r>
        <w:br/>
      </w:r>
      <w:r>
        <w:t>failed** — provided you engaged or prompted promptly and can evidence it.</w:t>
      </w:r>
    </w:p>
    <w:p>
      <w:pPr>
        <w:pStyle w:val="ListBullet"/>
      </w:pPr>
      <w:r>
        <w:t>At a day-60 checkpoint you and the CEO may re-scope the list by mutual written</w:t>
      </w:r>
      <w:r>
        <w:br/>
      </w:r>
      <w:r>
        <w:t>agreement, without stigma or effect on vesting.</w:t>
      </w:r>
    </w:p>
    <w:p>
      <w:pPr>
        <w:pStyle w:val="ListBullet"/>
      </w:pPr>
      <w:r>
        <w:t>This flexibility does not absolve the obligations: unexplained stalls with no</w:t>
      </w:r>
      <w:r>
        <w:br/>
      </w:r>
      <w:r>
        <w:t>third-party cause remain a legitimate concern under the foundations period.</w:t>
      </w:r>
    </w:p>
    <w:p>
      <w:pPr>
        <w:pStyle w:val="Heading2"/>
      </w:pPr>
      <w:r>
        <w:t>7. IP, confidentiality &amp; declaration of interests</w:t>
      </w:r>
    </w:p>
    <w:p>
      <w:pPr>
        <w:pStyle w:val="ListBullet"/>
      </w:pPr>
      <w:r>
        <w:t>All security tooling, runbooks, configurations and fixes belong to BuddyUp Ltd.</w:t>
      </w:r>
      <w:r>
        <w:br/>
      </w:r>
      <w:r>
        <w:t>from creation.</w:t>
      </w:r>
    </w:p>
    <w:p>
      <w:pPr>
        <w:pStyle w:val="ListBullet"/>
      </w:pPr>
      <w:r>
        <w:t>Confidentiality is indefinite and starts now; disclosure of company security</w:t>
      </w:r>
      <w:r>
        <w:br/>
      </w:r>
      <w:r>
        <w:t>posture to third parties requires CEO co-approval except under legal compulsion.</w:t>
      </w:r>
    </w:p>
    <w:p>
      <w:pPr>
        <w:pStyle w:val="ListBullet"/>
      </w:pPr>
      <w:r>
        <w:rPr>
          <w:b/>
        </w:rPr>
        <w:t>Declaration of interests (not a blanket conflicts bar):</w:t>
      </w:r>
    </w:p>
    <w:p>
      <w:pPr>
        <w:pStyle w:val="ListBullet2"/>
      </w:pPr>
      <w:r>
        <w:t>Before signature you complete a written declaration of interests covering</w:t>
      </w:r>
      <w:r>
        <w:br/>
      </w:r>
      <w:r>
        <w:t>current employment, businesses, directorships, significant investments,</w:t>
      </w:r>
      <w:r>
        <w:br/>
      </w:r>
      <w:r>
        <w:t>ongoing bug-bounty participation and other security engagements.</w:t>
      </w:r>
    </w:p>
    <w:p>
      <w:pPr>
        <w:pStyle w:val="ListBullet2"/>
      </w:pPr>
      <w:r>
        <w:t xml:space="preserve">Outside work is </w:t>
      </w:r>
      <w:r>
        <w:rPr>
          <w:b/>
        </w:rPr>
        <w:t>permitted</w:t>
      </w:r>
      <w:r>
        <w:t xml:space="preserve"> and is not, by itself, a conflict. What must be</w:t>
      </w:r>
      <w:r>
        <w:br/>
      </w:r>
      <w:r>
        <w:t>disclosed is anything that could materially impair impartiality, divert</w:t>
      </w:r>
      <w:r>
        <w:br/>
      </w:r>
      <w:r>
        <w:t>BuddyUp's security work elsewhere, or place you opposite the company (e.g.</w:t>
      </w:r>
      <w:r>
        <w:br/>
      </w:r>
      <w:r>
        <w:t>testing a competitor's platform in a way that overlaps BuddyUp scope, or an</w:t>
      </w:r>
      <w:r>
        <w:br/>
      </w:r>
      <w:r>
        <w:t>engagement with a party in dispute with BuddyUp). Testing systems outside</w:t>
      </w:r>
      <w:r>
        <w:br/>
      </w:r>
      <w:r>
        <w:t>BuddyUp scope during the engagement continues to require board consent.</w:t>
      </w:r>
    </w:p>
    <w:p>
      <w:pPr>
        <w:pStyle w:val="ListBullet2"/>
      </w:pPr>
      <w:r>
        <w:t>If a declared interest later becomes a genuine conflict in a specific matter,</w:t>
      </w:r>
      <w:r>
        <w:br/>
      </w:r>
      <w:r>
        <w:t>it is managed case by case — recusal, an information barrier, or re-scoping —</w:t>
      </w:r>
      <w:r>
        <w:br/>
      </w:r>
      <w:r>
        <w:t>rather than by prohibiting the outside work.</w:t>
      </w:r>
    </w:p>
    <w:p>
      <w:pPr>
        <w:pStyle w:val="ListBullet2"/>
      </w:pPr>
      <w:r>
        <w:t>The declaration is a living document: refreshed on material change and at</w:t>
      </w:r>
      <w:r>
        <w:br/>
      </w:r>
      <w:r>
        <w:t>least every six months, with the company keeping a simple register.</w:t>
      </w:r>
      <w:r>
        <w:br/>
      </w:r>
      <w:r>
        <w:t>Good-faith disclosure is always safe; only concealment of a known, material</w:t>
      </w:r>
      <w:r>
        <w:br/>
      </w:r>
      <w:r>
        <w:t>interest is a breach.</w:t>
      </w:r>
    </w:p>
    <w:p>
      <w:pPr>
        <w:pStyle w:val="Heading2"/>
      </w:pPr>
      <w:r>
        <w:t>8. Conditions precedent</w:t>
      </w:r>
    </w:p>
    <w:p>
      <w:pPr>
        <w:ind w:left="360"/>
      </w:pPr>
      <w:r>
        <w:t>1. Executed Founders' Shareholders' Agreement (Kenyan advocate drafted).</w:t>
      </w:r>
    </w:p>
    <w:p>
      <w:pPr>
        <w:ind w:left="360"/>
      </w:pPr>
      <w:r>
        <w:t>2. Declaration of interests (clause 7); background check consent (standard for</w:t>
      </w:r>
    </w:p>
    <w:p>
      <w:r>
        <w:t>the role).</w:t>
      </w:r>
    </w:p>
    <w:p>
      <w:pPr>
        <w:ind w:left="360"/>
      </w:pPr>
      <w:r>
        <w:t>3. Director protections in place: D&amp;O insurance bound (or a written company</w:t>
      </w:r>
    </w:p>
    <w:p>
      <w:r>
        <w:t>indemnity to the fullest extent permitted by the Companies Act 2015), before</w:t>
      </w:r>
    </w:p>
    <w:p>
      <w:r>
        <w:t>board appointment paperwork is filed.</w:t>
      </w:r>
    </w:p>
    <w:p>
      <w:r>
        <w:rPr>
          <w:b/>
        </w:rPr>
        <w:t>External counsel costs.</w:t>
      </w:r>
      <w:r>
        <w:t xml:space="preserve"> The advocate for the Founders' Shareholders'</w:t>
      </w:r>
    </w:p>
    <w:p>
      <w:r>
        <w:t xml:space="preserve">Agreement is jointly retained and instructed by </w:t>
      </w:r>
      <w:r>
        <w:rPr>
          <w:b/>
        </w:rPr>
        <w:t>the company</w:t>
      </w:r>
      <w:r>
        <w:t>, and those fees</w:t>
      </w:r>
    </w:p>
    <w:p>
      <w:r>
        <w:t xml:space="preserve">are an </w:t>
      </w:r>
      <w:r>
        <w:rPr>
          <w:b/>
        </w:rPr>
        <w:t>operational expense of BuddyUp Ltd.</w:t>
      </w:r>
      <w:r>
        <w:t xml:space="preserve"> — not a founder personal cost.</w:t>
      </w:r>
    </w:p>
    <w:p>
      <w:r>
        <w:t>The engagement letter (scope, fee estimate and any cap) will be confirmed in</w:t>
      </w:r>
    </w:p>
    <w:p>
      <w:r>
        <w:t xml:space="preserve">writing and shared with all founders </w:t>
      </w:r>
      <w:r>
        <w:rPr>
          <w:b/>
        </w:rPr>
        <w:t>before</w:t>
      </w:r>
      <w:r>
        <w:t xml:space="preserve"> instruction. Any separate</w:t>
      </w:r>
    </w:p>
    <w:p>
      <w:r>
        <w:t>personal-review advocate a founder chooses to engage for their own side review is</w:t>
      </w:r>
    </w:p>
    <w:p>
      <w:r>
        <w:t>at that founder's own cost.</w:t>
      </w:r>
    </w:p>
    <w:p>
      <w:pPr>
        <w:pStyle w:val="Heading2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 BuddyUp Ltd.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Candidate</w:t>
            </w:r>
          </w:p>
        </w:tc>
      </w:tr>
      <w:tr>
        <w:tc>
          <w:tcPr>
            <w:tcW w:type="dxa" w:w="4320"/>
          </w:tcPr>
          <w:p>
            <w:r>
              <w:t>Name: Peter Mbugua</w:t>
            </w:r>
          </w:p>
        </w:tc>
        <w:tc>
          <w:tcPr>
            <w:tcW w:type="dxa" w:w="4320"/>
          </w:tcPr>
          <w:p>
            <w:r>
              <w:t>Name: [Full legal name]</w:t>
            </w:r>
          </w:p>
        </w:tc>
      </w:tr>
      <w:tr>
        <w:tc>
          <w:tcPr>
            <w:tcW w:type="dxa" w:w="4320"/>
          </w:tcPr>
          <w:p>
            <w:r>
              <w:t>Title: Cofounder &amp; CEO</w:t>
            </w:r>
          </w:p>
        </w:tc>
        <w:tc>
          <w:tcPr>
            <w:tcW w:type="dxa" w:w="4320"/>
          </w:tcPr>
          <w:p>
            <w:r>
              <w:t>ID/Passport: [●]</w:t>
            </w:r>
          </w:p>
        </w:tc>
      </w:tr>
      <w:tr>
        <w:tc>
          <w:tcPr>
            <w:tcW w:type="dxa" w:w="4320"/>
          </w:tcPr>
          <w:p>
            <w:r>
              <w:t>Signature: ________________ Date: ______</w:t>
            </w:r>
          </w:p>
        </w:tc>
        <w:tc>
          <w:tcPr>
            <w:tcW w:type="dxa" w:w="4320"/>
          </w:tcPr>
          <w:p>
            <w:r>
              <w:t>Signature: ________________ Date: ______</w:t>
            </w:r>
          </w:p>
        </w:tc>
      </w:tr>
    </w:tbl>
    <w:p/>
    <w:p>
      <w:pPr>
        <w:pStyle w:val="Heading2"/>
      </w:pPr>
      <w:r>
        <w:t>Annex A — Vesting schedule</w:t>
      </w:r>
      <w:r>
        <w:br/>
      </w:r>
      <w:r>
        <w:rPr>
          <w:i/>
        </w:rPr>
        <w:t>(Identical across all founder agreements.)</w:t>
      </w:r>
    </w:p>
    <w:p>
      <w:pPr>
        <w:ind w:left="360"/>
      </w:pPr>
      <w:r>
        <w:t xml:space="preserve">1. </w:t>
      </w:r>
      <w:r>
        <w:rPr>
          <w:b/>
        </w:rPr>
        <w:t>Grant:</w:t>
      </w:r>
      <w:r>
        <w:t xml:space="preserve"> 16% of the fully-diluted capital of BuddyUp Ltd. as at the start</w:t>
      </w:r>
    </w:p>
    <w:p>
      <w:r>
        <w:t>date, recorded in the share register. Identical for every founder seat.</w:t>
      </w:r>
    </w:p>
    <w:p>
      <w:pPr>
        <w:ind w:left="360"/>
      </w:pPr>
      <w:r>
        <w:t xml:space="preserve">2. </w:t>
      </w:r>
      <w:r>
        <w:rPr>
          <w:b/>
        </w:rPr>
        <w:t>Cliff:</w:t>
      </w:r>
      <w:r>
        <w:t xml:space="preserve"> no shares vest before the 12-month anniversary of the start date.</w:t>
      </w:r>
    </w:p>
    <w:p>
      <w:r>
        <w:t>On passing the cliff, 25% vests retroactively; the remainder vests monthly</w:t>
      </w:r>
    </w:p>
    <w:p>
      <w:r>
        <w:t>over the following 36 months.</w:t>
      </w:r>
    </w:p>
    <w:p>
      <w:pPr>
        <w:ind w:left="360"/>
      </w:pPr>
      <w:r>
        <w:t xml:space="preserve">3. </w:t>
      </w:r>
      <w:r>
        <w:rPr>
          <w:b/>
        </w:rPr>
        <w:t>Leavers:</w:t>
      </w:r>
    </w:p>
    <w:p>
      <w:pPr>
        <w:pStyle w:val="ListBullet2"/>
      </w:pPr>
      <w:r>
        <w:rPr>
          <w:b/>
        </w:rPr>
        <w:t>Good leaver</w:t>
      </w:r>
      <w:r>
        <w:t xml:space="preserve"> — by default, every departure that is not a bad leaver is</w:t>
      </w:r>
      <w:r>
        <w:br/>
      </w:r>
      <w:r>
        <w:t>treated as a good leaver. Explicit examples: death or serious illness,</w:t>
      </w:r>
      <w:r>
        <w:br/>
      </w:r>
      <w:r>
        <w:t>mutual agreement, role eliminated, resignation for good reason (material</w:t>
      </w:r>
      <w:r>
        <w:br/>
      </w:r>
      <w:r>
        <w:t>reduction in agreed role/commitment, unpaid equity terms, or a change the</w:t>
      </w:r>
      <w:r>
        <w:br/>
      </w:r>
      <w:r>
        <w:t>founder did not consent to). Treatment: vested shares retained; unvested</w:t>
      </w:r>
      <w:r>
        <w:br/>
      </w:r>
      <w:r>
        <w:t>cancelled or partly accelerated at board discretion.</w:t>
      </w:r>
    </w:p>
    <w:p>
      <w:pPr>
        <w:pStyle w:val="ListBullet2"/>
      </w:pPr>
      <w:r>
        <w:rPr>
          <w:b/>
        </w:rPr>
        <w:t>Bad leaver</w:t>
      </w:r>
      <w:r>
        <w:t xml:space="preserve"> — only the following, determined by majority of the</w:t>
      </w:r>
      <w:r>
        <w:br/>
      </w:r>
      <w:r>
        <w:t>non-affected founders (or the board where independent):</w:t>
      </w:r>
    </w:p>
    <w:p>
      <w:pPr>
        <w:ind w:left="864"/>
      </w:pPr>
      <w:r>
        <w:t>(a) gross misconduct or fraud;</w:t>
      </w:r>
    </w:p>
    <w:p>
      <w:pPr>
        <w:ind w:left="864"/>
      </w:pPr>
      <w:r>
        <w:t>(b) conviction of an offence involving dishonesty;</w:t>
      </w:r>
    </w:p>
    <w:p>
      <w:pPr>
        <w:ind w:left="864"/>
      </w:pPr>
      <w:r>
        <w:t>(c) material breach of this agreement or the shareholders' agreement</w:t>
      </w:r>
    </w:p>
    <w:p>
      <w:r>
        <w:t>(including concealment of a known, material interest declared under</w:t>
      </w:r>
    </w:p>
    <w:p>
      <w:r>
        <w:t>clause 7, or breach of confidentiality/IP assignment);</w:t>
      </w:r>
    </w:p>
    <w:p>
      <w:pPr>
        <w:ind w:left="864"/>
      </w:pPr>
      <w:r>
        <w:t xml:space="preserve">(d) resignation </w:t>
      </w:r>
      <w:r>
        <w:rPr>
          <w:b/>
        </w:rPr>
        <w:t>without good reason</w:t>
      </w:r>
      <w:r>
        <w:t xml:space="preserve"> within the first 24 months after</w:t>
      </w:r>
    </w:p>
    <w:p>
      <w:r>
        <w:t>the cliff;</w:t>
      </w:r>
    </w:p>
    <w:p>
      <w:pPr>
        <w:ind w:left="864"/>
      </w:pPr>
      <w:r>
        <w:t>(e) persistent failure to meet the agreed commitment after written warning</w:t>
      </w:r>
    </w:p>
    <w:p>
      <w:r>
        <w:t>and a 30-day cure period; or</w:t>
      </w:r>
    </w:p>
    <w:p>
      <w:pPr>
        <w:ind w:left="864"/>
      </w:pPr>
      <w:r>
        <w:t>(f) conduct that seriously damages the company's reputation or regulatory</w:t>
      </w:r>
    </w:p>
    <w:p>
      <w:r>
        <w:t>standing.</w:t>
      </w:r>
    </w:p>
    <w:p>
      <w:r>
        <w:t>Treatment: unvested shares cancel; vested shares are **bought back at fair</w:t>
      </w:r>
    </w:p>
    <w:p>
      <w:r>
        <w:t>market value** — determined by an independent valuator jointly appointed by</w:t>
      </w:r>
    </w:p>
    <w:p>
      <w:r>
        <w:t>the company and the leaver, or, if an arm's-length financing or valuation</w:t>
      </w:r>
    </w:p>
    <w:p>
      <w:r>
        <w:t>occurred within the preceding 12 months, at that round's price per share.</w:t>
      </w:r>
    </w:p>
    <w:p>
      <w:r>
        <w:t>Proceeds are payable within 60 days of the valuation. Anything not listed</w:t>
      </w:r>
    </w:p>
    <w:p>
      <w:r>
        <w:t>above cannot be treated as bad-leaver conduct.</w:t>
      </w:r>
    </w:p>
    <w:p>
      <w:pPr>
        <w:ind w:left="360"/>
      </w:pPr>
      <w:r>
        <w:t xml:space="preserve">4. </w:t>
      </w:r>
      <w:r>
        <w:rPr>
          <w:b/>
        </w:rPr>
        <w:t>Acceleration:</w:t>
      </w:r>
      <w:r>
        <w:t xml:space="preserve"> single-trigger acceleration is not offered; **double-trigger</w:t>
      </w:r>
    </w:p>
    <w:p>
      <w:r>
        <w:t>(change of control + termination without cause, or resignation for good</w:t>
      </w:r>
    </w:p>
    <w:p>
      <w:r>
        <w:t>reason following a change of control) accelerates 100% of unvested shares.**</w:t>
      </w:r>
    </w:p>
    <w:p>
      <w:r>
        <w:t>A change of control alone does not accelerate anything.</w:t>
      </w:r>
    </w:p>
    <w:p>
      <w:pPr>
        <w:ind w:left="360"/>
      </w:pPr>
      <w:r>
        <w:t xml:space="preserve">5. </w:t>
      </w:r>
      <w:r>
        <w:rPr>
          <w:b/>
        </w:rPr>
        <w:t>Dilution:</w:t>
      </w:r>
      <w:r>
        <w:t xml:space="preserve"> a </w:t>
      </w:r>
      <w:r>
        <w:rPr>
          <w:b/>
        </w:rPr>
        <w:t>20% unallocated reserve</w:t>
      </w:r>
      <w:r>
        <w:t xml:space="preserve"> (future hires / option pool) is</w:t>
      </w:r>
    </w:p>
    <w:p>
      <w:r>
        <w:t>created at incorporation, so future option grants are funded from the reserve</w:t>
      </w:r>
    </w:p>
    <w:p>
      <w:r>
        <w:t>rather than by further diluting founders. Future investment rounds dilute all</w:t>
      </w:r>
    </w:p>
    <w:p>
      <w:r>
        <w:t>holders pro rata. Any top-up of the pool beyond 20%, or any pool creation from</w:t>
      </w:r>
    </w:p>
    <w:p>
      <w:r>
        <w:t>founder holdings, requires unanimous founder consent.</w:t>
      </w:r>
    </w:p>
    <w:p>
      <w:pPr>
        <w:ind w:left="360"/>
      </w:pPr>
      <w:r>
        <w:t xml:space="preserve">6. </w:t>
      </w:r>
      <w:r>
        <w:rPr>
          <w:b/>
        </w:rPr>
        <w:t>Lock-in:</w:t>
      </w:r>
      <w:r>
        <w:t xml:space="preserve"> founders may not transfer shares other than per the shareholders'</w:t>
      </w:r>
    </w:p>
    <w:p>
      <w:r>
        <w:t>agreement (pre-emption rights apply).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