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Cofounder Agreements — BuddyUp Ltd.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Peter Mbugua (CEO)</w:t>
            </w:r>
          </w:p>
        </w:tc>
        <w:tc>
          <w:tcPr>
            <w:tcW w:type="dxa" w:w="2880"/>
          </w:tcPr>
          <w:p>
            <w:r>
              <w:t>2026-09-30</w:t>
            </w:r>
          </w:p>
        </w:tc>
        <w:tc>
          <w:tcPr>
            <w:tcW w:type="dxa" w:w="2880"/>
          </w:tcPr>
          <w:p>
            <w:r>
              <w:t>Working templates; Kenyan advocate review required</w:t>
            </w:r>
          </w:p>
        </w:tc>
      </w:tr>
    </w:tbl>
    <w:p/>
    <w:p>
      <w:r>
        <w:t>Offer-ready cofounder agreements for the four founding seats alongside the CEO.</w:t>
      </w:r>
    </w:p>
    <w:p>
      <w:r>
        <w:t>Each document is a personalised heads-of-terms: it sets out the role, equity,</w:t>
      </w:r>
    </w:p>
    <w:p>
      <w:r>
        <w:t>commitments and conditions before a formal shareholders' agreement is signed.</w:t>
      </w:r>
    </w:p>
    <w:p>
      <w:pPr>
        <w:pStyle w:val="Heading2"/>
      </w:pPr>
      <w:r>
        <w:t>Founding team &amp; ownership (consolidated)</w:t>
      </w:r>
      <w:r>
        <w:br/>
      </w:r>
      <w:r>
        <w:t>The founding team holds 80% of BuddyUp Ltd. at incorporation, with a **20%</w:t>
      </w:r>
      <w:r>
        <w:br/>
      </w:r>
      <w:r>
        <w:t>unallocated reserve** for future hires and the option pool. All five founder</w:t>
      </w:r>
      <w:r>
        <w:br/>
      </w:r>
      <w:r>
        <w:t xml:space="preserve">seats hold an </w:t>
      </w:r>
      <w:r>
        <w:rPr>
          <w:b/>
        </w:rPr>
        <w:t>equal 16%</w:t>
      </w:r>
      <w:r>
        <w:t xml:space="preserve"> — the YC-recommended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Equity</w:t>
            </w:r>
          </w:p>
        </w:tc>
      </w:tr>
      <w:tr>
        <w:tc>
          <w:tcPr>
            <w:tcW w:type="dxa" w:w="2880"/>
          </w:tcPr>
          <w:p>
            <w:r>
              <w:t>Cofounder &amp; CEO — Engineering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Peter Mbugua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16%</w:t>
            </w:r>
          </w:p>
        </w:tc>
      </w:tr>
      <w:tr>
        <w:tc>
          <w:tcPr>
            <w:tcW w:type="dxa" w:w="2880"/>
          </w:tcPr>
          <w:p>
            <w:r>
              <w:t>Cofounder — Legal, Compliance &amp; Research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(open — this offer)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Cofounder — Marketing, Sales &amp; Partnerships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(open — this offer)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Cofounder — Security Engineering &amp; Trust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(open — this offer)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Cofounder — Finance, Strategy &amp; Controller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(open — this offer)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Unallocated reserve (future hires / option pool)</w:t>
            </w:r>
          </w:p>
        </w:tc>
        <w:tc>
          <w:tcPr>
            <w:tcW w:type="dxa" w:w="2880"/>
          </w:tcPr>
          <w:p>
            <w:r>
              <w:t>held for unanimous founder 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ListBullet"/>
      </w:pPr>
      <w:r>
        <w:t>Every founder's equity vests on identical terms: 4 years monthly, 1-year cliff</w:t>
      </w:r>
      <w:r>
        <w:br/>
      </w:r>
      <w:r>
        <w:t>(25% retroactive), default-good-leaver with an enumerated bad-leaver list and</w:t>
      </w:r>
      <w:r>
        <w:br/>
      </w:r>
      <w:r>
        <w:t>fair-market-value buy-back, and 100% double-trigger acceleration.</w:t>
      </w:r>
    </w:p>
    <w:p>
      <w:pPr>
        <w:pStyle w:val="ListBullet"/>
      </w:pPr>
      <w:r>
        <w:rPr>
          <w:b/>
        </w:rPr>
        <w:t>Equal split.</w:t>
      </w:r>
      <w:r>
        <w:t xml:space="preserve"> YC's guidance on equity splits is blunt: the value is created</w:t>
      </w:r>
      <w:r>
        <w:br/>
      </w:r>
      <w:r>
        <w:t>by the years of work ahead, not by the idea or pre-founding build; unequal</w:t>
      </w:r>
      <w:r>
        <w:br/>
      </w:r>
      <w:r>
        <w:t>splits create a second-class cofounder. The CEO's pre-founding work (the entire</w:t>
      </w:r>
      <w:r>
        <w:br/>
      </w:r>
      <w:r>
        <w:t>platform: web, Flutter, backend, LiveKit media, payments, AI services) is</w:t>
      </w:r>
      <w:r>
        <w:br/>
      </w:r>
      <w:r>
        <w:t xml:space="preserve">acknowledged through </w:t>
      </w:r>
      <w:r>
        <w:rPr>
          <w:b/>
        </w:rPr>
        <w:t>role and casting-vote authority</w:t>
      </w:r>
      <w:r>
        <w:t>, not through extra</w:t>
      </w:r>
      <w:r>
        <w:br/>
      </w:r>
      <w:r>
        <w:t>equity. If any founder cannot accept equal equity, raise it now — not mid-flight.</w:t>
      </w:r>
    </w:p>
    <w:p>
      <w:pPr>
        <w:pStyle w:val="ListBullet"/>
      </w:pPr>
      <w:r>
        <w:t xml:space="preserve">The unallocated </w:t>
      </w:r>
      <w:r>
        <w:rPr>
          <w:b/>
        </w:rPr>
        <w:t>20%</w:t>
      </w:r>
      <w:r>
        <w:t xml:space="preserve"> is the market range for an early-stage option pool and</w:t>
      </w:r>
      <w:r>
        <w:br/>
      </w:r>
      <w:r>
        <w:t>is created at incorporation, so future hires and options are funded from the</w:t>
      </w:r>
      <w:r>
        <w:br/>
      </w:r>
      <w:r>
        <w:t>reserve instead of diluting founders; any top-up beyond 20% requires the</w:t>
      </w:r>
      <w:r>
        <w:br/>
      </w:r>
      <w:r>
        <w:t>unanimous consent of all five founders.</w:t>
      </w:r>
    </w:p>
    <w:p>
      <w:pPr>
        <w:pStyle w:val="ListBullet"/>
      </w:pPr>
      <w:r>
        <w:t>All founding seats are part-time (minimum 10 hours/week) at incorporation,</w:t>
      </w:r>
      <w:r>
        <w:br/>
      </w:r>
      <w:r>
        <w:t>measured by outcomes, with commitment level reviewed after the foundations</w:t>
      </w:r>
      <w:r>
        <w:br/>
      </w:r>
      <w:r>
        <w:t>period (clause 4 of each agreement).</w:t>
      </w:r>
    </w:p>
    <w:p>
      <w:pPr>
        <w:pStyle w:val="Heading2"/>
      </w:pPr>
      <w:r>
        <w:t>Decision-making &amp; the CEO casting vote</w:t>
      </w:r>
      <w:r>
        <w:br/>
      </w:r>
      <w:r>
        <w:t>Equal equity, one accountable operator: the CEO runs the company and holds the</w:t>
      </w:r>
      <w:r>
        <w:br/>
      </w:r>
      <w:r>
        <w:t>casting vote on deadlocked cross-domain decisions. The analysis below draws on</w:t>
      </w:r>
      <w:r>
        <w:br/>
      </w:r>
      <w:r>
        <w:t>YC's guidance on equity splits and co-founder conflict (Michael Seibel's YC</w:t>
      </w:r>
      <w:r>
        <w:br/>
      </w:r>
      <w:r>
        <w:t>Library essays; YC partners' repeated advice that one founder must be the final</w:t>
      </w:r>
      <w:r>
        <w:br/>
      </w:r>
      <w:r>
        <w:t>decision-maker).</w:t>
      </w:r>
    </w:p>
    <w:p>
      <w:pPr>
        <w:pStyle w:val="Heading3"/>
      </w:pPr>
      <w:r>
        <w:t>Principles</w:t>
      </w:r>
    </w:p>
    <w:p>
      <w:pPr>
        <w:ind w:left="360"/>
      </w:pPr>
      <w:r>
        <w:t xml:space="preserve">1. </w:t>
      </w:r>
      <w:r>
        <w:rPr>
          <w:b/>
        </w:rPr>
        <w:t>Domains decide.</w:t>
      </w:r>
      <w:r>
        <w:t xml:space="preserve"> Each founder decides within their own mandate (clause 3</w:t>
      </w:r>
    </w:p>
    <w:p>
      <w:r>
        <w:t>of each agreement); the CEO decides company-level calls. Clear ownership</w:t>
      </w:r>
    </w:p>
    <w:p>
      <w:r>
        <w:t>prevents most deadlocks before they exist.</w:t>
      </w:r>
    </w:p>
    <w:p>
      <w:pPr>
        <w:ind w:left="360"/>
      </w:pPr>
      <w:r>
        <w:t xml:space="preserve">2. </w:t>
      </w:r>
      <w:r>
        <w:rPr>
          <w:b/>
        </w:rPr>
        <w:t>Most disagreements don't matter — decide fast.</w:t>
      </w:r>
      <w:r>
        <w:t xml:space="preserve"> YC's guidance is blunt:</w:t>
      </w:r>
    </w:p>
    <w:p>
      <w:r>
        <w:t>founder arguments are usually over low-stakes calls, and the real damage is</w:t>
      </w:r>
    </w:p>
    <w:p>
      <w:r>
        <w:t>slowness and resentment, not a wrong choice. The framework optimises for</w:t>
      </w:r>
    </w:p>
    <w:p>
      <w:r>
        <w:t>decision speed, not perfection.</w:t>
      </w:r>
    </w:p>
    <w:p>
      <w:pPr>
        <w:ind w:left="360"/>
      </w:pPr>
      <w:r>
        <w:t xml:space="preserve">3. </w:t>
      </w:r>
      <w:r>
        <w:rPr>
          <w:b/>
        </w:rPr>
        <w:t>One CEO, one casting vote.</w:t>
      </w:r>
      <w:r>
        <w:t xml:space="preserve"> When founders genuinely deadlock, the CEO</w:t>
      </w:r>
    </w:p>
    <w:p>
      <w:r>
        <w:t>decides. If founders cannot accept that structure, that is a founding-structure</w:t>
      </w:r>
    </w:p>
    <w:p>
      <w:r>
        <w:t>problem — surface it before signing, not mid-flight.</w:t>
      </w:r>
    </w:p>
    <w:p>
      <w:pPr>
        <w:ind w:left="360"/>
      </w:pPr>
      <w:r>
        <w:t xml:space="preserve">4. </w:t>
      </w:r>
      <w:r>
        <w:rPr>
          <w:b/>
        </w:rPr>
        <w:t>Disagree and commit.</w:t>
      </w:r>
      <w:r>
        <w:t xml:space="preserve"> After the vote, everyone executes fully; relitigating</w:t>
      </w:r>
    </w:p>
    <w:p>
      <w:r>
        <w:t>a settled decision is the actual conflict.</w:t>
      </w:r>
    </w:p>
    <w:p>
      <w:pPr>
        <w:ind w:left="360"/>
      </w:pPr>
      <w:r>
        <w:t xml:space="preserve">5. </w:t>
      </w:r>
      <w:r>
        <w:rPr>
          <w:b/>
        </w:rPr>
        <w:t>The casting vote is accountable, not absolute.</w:t>
      </w:r>
      <w:r>
        <w:t xml:space="preserve"> Written reasons, recusal on</w:t>
      </w:r>
    </w:p>
    <w:p>
      <w:r>
        <w:t>self-affecting matters, reserved matters that require more than one person,</w:t>
      </w:r>
    </w:p>
    <w:p>
      <w:r>
        <w:t>and CEO removal as the ultimate safeguard.</w:t>
      </w:r>
    </w:p>
    <w:p>
      <w:pPr>
        <w:pStyle w:val="Heading3"/>
      </w:pPr>
      <w:r>
        <w:t>How a deadlock resolves (the mechanism)</w:t>
      </w:r>
    </w:p>
    <w:p>
      <w:pPr>
        <w:ind w:left="360"/>
      </w:pPr>
      <w:r>
        <w:t>1. Each side writes its position with reasoning and evidence (one page max).</w:t>
      </w:r>
    </w:p>
    <w:p>
      <w:pPr>
        <w:ind w:left="360"/>
      </w:pPr>
      <w:r>
        <w:t>2. A 48-hour cool-off. Most disputes dissolve here.</w:t>
      </w:r>
    </w:p>
    <w:p>
      <w:pPr>
        <w:ind w:left="360"/>
      </w:pPr>
      <w:r>
        <w:t xml:space="preserve">3. If not, the </w:t>
      </w:r>
      <w:r>
        <w:rPr>
          <w:b/>
        </w:rPr>
        <w:t>CEO casts the deciding vote, with written reasons</w:t>
      </w:r>
      <w:r>
        <w:t xml:space="preserve"> within five</w:t>
      </w:r>
    </w:p>
    <w:p>
      <w:r>
        <w:t>working days.</w:t>
      </w:r>
    </w:p>
    <w:p>
      <w:pPr>
        <w:ind w:left="360"/>
      </w:pPr>
      <w:r>
        <w:t xml:space="preserve">4. The decision is recorded in writing; everyone </w:t>
      </w:r>
      <w:r>
        <w:rPr>
          <w:b/>
        </w:rPr>
        <w:t>disagrees and commits</w:t>
      </w:r>
      <w:r>
        <w:t>.</w:t>
      </w:r>
    </w:p>
    <w:p>
      <w:pPr>
        <w:ind w:left="360"/>
      </w:pPr>
      <w:r>
        <w:t xml:space="preserve">5. </w:t>
      </w:r>
      <w:r>
        <w:rPr>
          <w:b/>
        </w:rPr>
        <w:t>Recusal:</w:t>
      </w:r>
      <w:r>
        <w:t xml:space="preserve"> the CEO does not cast on decisions directly affecting the CEO's</w:t>
      </w:r>
    </w:p>
    <w:p>
      <w:r>
        <w:t>own equity, role or removal.</w:t>
      </w:r>
    </w:p>
    <w:p>
      <w:pPr>
        <w:ind w:left="360"/>
      </w:pPr>
      <w:r>
        <w:t xml:space="preserve">6. </w:t>
      </w:r>
      <w:r>
        <w:rPr>
          <w:b/>
        </w:rPr>
        <w:t>Reserved matters</w:t>
      </w:r>
      <w:r>
        <w:t xml:space="preserve"> are never a solo CEO call — selling or dissolving the</w:t>
      </w:r>
    </w:p>
    <w:p>
      <w:r>
        <w:t>company, removing or adding a cofounder, changing the equity split, removing</w:t>
      </w:r>
    </w:p>
    <w:p>
      <w:r>
        <w:t>the CEO, or changing this rule itself. These follow the Founders'</w:t>
      </w:r>
    </w:p>
    <w:p>
      <w:r>
        <w:t>Shareholders' Agreement (unanimity or board process as drafted there).</w:t>
      </w:r>
    </w:p>
    <w:p>
      <w:pPr>
        <w:ind w:left="360"/>
      </w:pPr>
      <w:r>
        <w:t>7. Last resort for reserved-matter disputes: independent mediation as provided</w:t>
      </w:r>
    </w:p>
    <w:p>
      <w:r>
        <w:t>in the shareholders' agreement.</w:t>
      </w:r>
    </w:p>
    <w:p>
      <w:r>
        <w:t>The mechanism is summarised in clause 3 of every founder agreement and becomes</w:t>
      </w:r>
    </w:p>
    <w:p>
      <w:r>
        <w:t>binding in the Founders' Shareholders' Agreement (Kenyan law — the chair's</w:t>
      </w:r>
    </w:p>
    <w:p>
      <w:r>
        <w:t>casting vote slots into the Companies Act 2015 model articles).</w:t>
      </w:r>
    </w:p>
    <w:p>
      <w:pPr>
        <w:pStyle w:val="Heading3"/>
      </w:pPr>
      <w:r>
        <w:t>Options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t>Unanimity on everything</w:t>
            </w:r>
          </w:p>
        </w:tc>
        <w:tc>
          <w:tcPr>
            <w:tcW w:type="dxa" w:w="4320"/>
          </w:tcPr>
          <w:p>
            <w:r>
              <w:t>Rejected — slow, breeds resentment; YC: decide fast, most calls are low-stakes</w:t>
            </w:r>
          </w:p>
        </w:tc>
      </w:tr>
      <w:tr>
        <w:tc>
          <w:tcPr>
            <w:tcW w:type="dxa" w:w="4320"/>
          </w:tcPr>
          <w:p>
            <w:r>
              <w:t>Rotating chair / vote rotation</w:t>
            </w:r>
          </w:p>
        </w:tc>
        <w:tc>
          <w:tcPr>
            <w:tcW w:type="dxa" w:w="4320"/>
          </w:tcPr>
          <w:p>
            <w:r>
              <w:t>Rejected — no accountability, unpredictable outcomes</w:t>
            </w:r>
          </w:p>
        </w:tc>
      </w:tr>
      <w:tr>
        <w:tc>
          <w:tcPr>
            <w:tcW w:type="dxa" w:w="4320"/>
          </w:tcPr>
          <w:p>
            <w:r>
              <w:t>External arbitration as first resort</w:t>
            </w:r>
          </w:p>
        </w:tc>
        <w:tc>
          <w:tcPr>
            <w:tcW w:type="dxa" w:w="4320"/>
          </w:tcPr>
          <w:p>
            <w:r>
              <w:t>Rejected as first resort — slow and expensive; kept only as the backstop for reserved matters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CEO casting vote + domain ownership + removal safeguard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Chosen — YC default; fits Kenyan model articles; carries into the shareholders' agreement</w:t>
            </w:r>
          </w:p>
        </w:tc>
      </w:tr>
    </w:tbl>
    <w:p/>
    <w:p>
      <w:pPr>
        <w:pStyle w:val="Heading2"/>
      </w:pPr>
      <w:r>
        <w:t>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One-line mandate</w:t>
            </w:r>
          </w:p>
        </w:tc>
      </w:tr>
      <w:tr>
        <w:tc>
          <w:tcPr>
            <w:tcW w:type="dxa" w:w="2880"/>
          </w:tcPr>
          <w:p>
            <w:r>
              <w:t>Legal &amp; Research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</w:rPr>
              <w:t>legal-research.md</w:t>
            </w:r>
            <w:r>
              <w:t>](legal-research.md) / [.docx](Bud_Cofounder_Agreement_Legal_and_Research.docx)</w:t>
            </w:r>
          </w:p>
        </w:tc>
        <w:tc>
          <w:tcPr>
            <w:tcW w:type="dxa" w:w="2880"/>
          </w:tcPr>
          <w:p>
            <w:r>
              <w:t>Keep BuddyUp inside Kenya's fitness/wellness regulatory lines and turn research into product decisions</w:t>
            </w:r>
          </w:p>
        </w:tc>
      </w:tr>
      <w:tr>
        <w:tc>
          <w:tcPr>
            <w:tcW w:type="dxa" w:w="2880"/>
          </w:tcPr>
          <w:p>
            <w:r>
              <w:t>Marketing &amp; Sales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</w:rPr>
              <w:t>marketing-sales.md</w:t>
            </w:r>
            <w:r>
              <w:t>](marketing-sales.md) / [.docx](Bud_Cofounder_Agreement_Marketing_and_Sales.docx)</w:t>
            </w:r>
          </w:p>
        </w:tc>
        <w:tc>
          <w:tcPr>
            <w:tcW w:type="dxa" w:w="2880"/>
          </w:tcPr>
          <w:p>
            <w:r>
              <w:t>Own demand: design partners, paying gyms/coaches, member activation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</w:rPr>
              <w:t>security.md</w:t>
            </w:r>
            <w:r>
              <w:t>](security.md) / [.docx](Bud_Cofounder_Agreement_Security.docx)</w:t>
            </w:r>
          </w:p>
        </w:tc>
        <w:tc>
          <w:tcPr>
            <w:tcW w:type="dxa" w:w="2880"/>
          </w:tcPr>
          <w:p>
            <w:r>
              <w:t>Own trust: platform, payment and data security end-to-end</w:t>
            </w:r>
          </w:p>
        </w:tc>
      </w:tr>
      <w:tr>
        <w:tc>
          <w:tcPr>
            <w:tcW w:type="dxa" w:w="2880"/>
          </w:tcPr>
          <w:p>
            <w:r>
              <w:t>Finance &amp; Strategy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</w:rPr>
              <w:t>finance-strategy.md</w:t>
            </w:r>
            <w:r>
              <w:t>](finance-strategy.md) / [.docx](Bud_Cofounder_Agreement_Finance_and_Strategy.docx)</w:t>
            </w:r>
          </w:p>
        </w:tc>
        <w:tc>
          <w:tcPr>
            <w:tcW w:type="dxa" w:w="2880"/>
          </w:tcPr>
          <w:p>
            <w:r>
              <w:t>Own the money and the plan: burn, reconciliation, fundraising readiness</w:t>
            </w:r>
          </w:p>
        </w:tc>
      </w:tr>
      <w:tr>
        <w:tc>
          <w:tcPr>
            <w:tcW w:type="dxa" w:w="2880"/>
          </w:tcPr>
          <w:p>
            <w:r>
              <w:t>Founders' Shareholders' Agreement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</w:rPr>
              <w:t>founders-shareholders-agreement-draft.md</w:t>
            </w:r>
            <w:r>
              <w:t>](founders-shareholders-agreement-draft.md) / [.docx](Bud_Founders_Shareholders_Agreement_DRAFT.docx)</w:t>
            </w:r>
          </w:p>
        </w:tc>
        <w:tc>
          <w:tcPr>
            <w:tcW w:type="dxa" w:w="2880"/>
          </w:tcPr>
          <w:p>
            <w:r>
              <w:t>Consolidated working draft (casting vote, reserved matters, leavers) — for Kenyan advocate review, not for signature</w:t>
            </w:r>
          </w:p>
        </w:tc>
      </w:tr>
    </w:tbl>
    <w:p/>
    <w:p>
      <w:pPr>
        <w:pStyle w:val="Heading2"/>
      </w:pPr>
      <w:r>
        <w:t>How to use these documents</w:t>
      </w:r>
    </w:p>
    <w:p>
      <w:pPr>
        <w:ind w:left="360"/>
      </w:pPr>
      <w:r>
        <w:t xml:space="preserve">1. Fill every remaining </w:t>
      </w:r>
      <w:r>
        <w:rPr>
          <w:rFonts w:ascii="Consolas" w:hAnsi="Consolas"/>
        </w:rPr>
        <w:t>[●]</w:t>
      </w:r>
      <w:r>
        <w:t xml:space="preserve"> placeholder (candidate name, ID/passport, start date).</w:t>
      </w:r>
    </w:p>
    <w:p>
      <w:pPr>
        <w:ind w:left="360"/>
      </w:pPr>
      <w:r>
        <w:t>2. Send the relevant file together with the latest business model doc</w:t>
      </w:r>
    </w:p>
    <w:p>
      <w:r>
        <w:t>(</w:t>
      </w:r>
      <w:r>
        <w:rPr>
          <w:rFonts w:ascii="Consolas" w:hAnsi="Consolas"/>
        </w:rPr>
        <w:t>../buddyup_regulated_business_model_2026.md</w:t>
      </w:r>
      <w:r>
        <w:t>) so the candidate sees the same reality you see.</w:t>
      </w:r>
    </w:p>
    <w:p>
      <w:pPr>
        <w:ind w:left="360"/>
      </w:pPr>
      <w:r>
        <w:t>3. Give candidates at least one week and access to counsel before signing.</w:t>
      </w:r>
    </w:p>
    <w:p>
      <w:pPr>
        <w:ind w:left="360"/>
      </w:pPr>
      <w:r>
        <w:t>4. On signature of all four, hand the advocate the working draft</w:t>
      </w:r>
    </w:p>
    <w:p>
      <w:r>
        <w:rPr>
          <w:b/>
        </w:rPr>
        <w:t>Founders' Shareholders' Agreement</w:t>
      </w:r>
    </w:p>
    <w:p>
      <w:r>
        <w:t>([</w:t>
      </w:r>
      <w:r>
        <w:rPr>
          <w:rFonts w:ascii="Consolas" w:hAnsi="Consolas"/>
        </w:rPr>
        <w:t>founders-shareholders-agreement-draft.md</w:t>
      </w:r>
      <w:r>
        <w:t>](founders-shareholders-agreement-draft.md))</w:t>
      </w:r>
    </w:p>
    <w:p>
      <w:r>
        <w:t>together with the signed heads of terms — the casting-vote mechanism and</w:t>
      </w:r>
    </w:p>
    <w:p>
      <w:r>
        <w:t>Reserved Matters list are already drafted there for perfection. These documents</w:t>
      </w:r>
    </w:p>
    <w:p>
      <w:r>
        <w:t>are designed to slot into that agreement without renegotiation.</w:t>
      </w:r>
    </w:p>
    <w:p>
      <w:pPr>
        <w:pStyle w:val="Heading2"/>
      </w:pPr>
      <w:r>
        <w:t>Shared terms across all four agreements</w:t>
      </w:r>
    </w:p>
    <w:p>
      <w:pPr>
        <w:pStyle w:val="ListBullet"/>
      </w:pPr>
      <w:r>
        <w:rPr>
          <w:b/>
        </w:rPr>
        <w:t>Company:</w:t>
      </w:r>
      <w:r>
        <w:t xml:space="preserve"> BuddyUp Ltd., incorporated in the Republic of Kenya.</w:t>
      </w:r>
    </w:p>
    <w:p>
      <w:pPr>
        <w:pStyle w:val="ListBullet"/>
      </w:pPr>
      <w:r>
        <w:rPr>
          <w:b/>
        </w:rPr>
        <w:t>Equity:</w:t>
      </w:r>
      <w:r>
        <w:t xml:space="preserve"> equal 16% per founder seat at grant, alongside a 20% unallocated</w:t>
      </w:r>
      <w:r>
        <w:br/>
      </w:r>
      <w:r>
        <w:t>reserve created at incorporation for future hires and the option pool.</w:t>
      </w:r>
    </w:p>
    <w:p>
      <w:pPr>
        <w:pStyle w:val="ListBullet"/>
      </w:pPr>
      <w:r>
        <w:rPr>
          <w:b/>
        </w:rPr>
        <w:t>Commitment:</w:t>
      </w:r>
      <w:r>
        <w:t xml:space="preserve"> part-time founding seats — minimum 10 hours per week, measured</w:t>
      </w:r>
      <w:r>
        <w:br/>
      </w:r>
      <w:r>
        <w:t>by outcomes (clause 4 of each agreement); reviewed after the foundations period.</w:t>
      </w:r>
    </w:p>
    <w:p>
      <w:pPr>
        <w:pStyle w:val="ListBullet"/>
      </w:pPr>
      <w:r>
        <w:rPr>
          <w:b/>
        </w:rPr>
        <w:t>Vesting:</w:t>
      </w:r>
      <w:r>
        <w:t xml:space="preserve"> all founder equity vests monthly over 4 years with a 1-year cliff;</w:t>
      </w:r>
      <w:r>
        <w:br/>
      </w:r>
      <w:r>
        <w:t>default-good-leaver with an enumerated bad-leaver list and fair-market-value</w:t>
      </w:r>
      <w:r>
        <w:br/>
      </w:r>
      <w:r>
        <w:t>buy-back; unvested shares on leaving revert to the company; 100% double-trigger</w:t>
      </w:r>
      <w:r>
        <w:br/>
      </w:r>
      <w:r>
        <w:t>acceleration (no single trigger).</w:t>
      </w:r>
    </w:p>
    <w:p>
      <w:pPr>
        <w:pStyle w:val="ListBullet"/>
      </w:pPr>
      <w:r>
        <w:rPr>
          <w:b/>
        </w:rPr>
        <w:t>Trial:</w:t>
      </w:r>
      <w:r>
        <w:t xml:space="preserve"> the first 90 days are a mutual foundations period — either party may</w:t>
      </w:r>
      <w:r>
        <w:br/>
      </w:r>
      <w:r>
        <w:t>end the engagement before the cliff with no hard feelings and no vested equity;</w:t>
      </w:r>
      <w:r>
        <w:br/>
      </w:r>
      <w:r>
        <w:t>third-party regulatory delays extend deadlines day-for-day without failing the</w:t>
      </w:r>
      <w:r>
        <w:br/>
      </w:r>
      <w:r>
        <w:t>deliverable (clause 6 of each agreement).</w:t>
      </w:r>
    </w:p>
    <w:p>
      <w:pPr>
        <w:pStyle w:val="ListBullet"/>
      </w:pPr>
      <w:r>
        <w:rPr>
          <w:b/>
        </w:rPr>
        <w:t>Interests:</w:t>
      </w:r>
      <w:r>
        <w:t xml:space="preserve"> a living declaration of interests (not a blanket conflicts bar)</w:t>
      </w:r>
      <w:r>
        <w:br/>
      </w:r>
      <w:r>
        <w:t>— outside work is permitted; disclosure is required only where an interest</w:t>
      </w:r>
      <w:r>
        <w:br/>
      </w:r>
      <w:r>
        <w:t>could impair impartiality, divert company work, or place a founder opposite</w:t>
      </w:r>
      <w:r>
        <w:br/>
      </w:r>
      <w:r>
        <w:t>the company (clause 7 of each agreement).</w:t>
      </w:r>
    </w:p>
    <w:p>
      <w:pPr>
        <w:pStyle w:val="ListBullet"/>
      </w:pPr>
      <w:r>
        <w:rPr>
          <w:b/>
        </w:rPr>
        <w:t>Director protections:</w:t>
      </w:r>
      <w:r>
        <w:t xml:space="preserve"> D&amp;O insurance (or a Companies Act 2015-compliant</w:t>
      </w:r>
      <w:r>
        <w:br/>
      </w:r>
      <w:r>
        <w:t>indemnity) is in place before any board appointment; shareholders'-agreement</w:t>
      </w:r>
      <w:r>
        <w:br/>
      </w:r>
      <w:r>
        <w:t>advocate fees are a company operational expense (clause 8 of each agreement).</w:t>
      </w:r>
    </w:p>
    <w:p>
      <w:pPr>
        <w:pStyle w:val="ListBullet"/>
      </w:pPr>
      <w:r>
        <w:rPr>
          <w:b/>
        </w:rPr>
        <w:t>Decision-making:</w:t>
      </w:r>
      <w:r>
        <w:t xml:space="preserve"> domain ownership plus a CEO casting vote with written</w:t>
      </w:r>
      <w:r>
        <w:br/>
      </w:r>
      <w:r>
        <w:t>reasons, recusal, and reserved matters — see "Decision-making &amp; the CEO</w:t>
      </w:r>
      <w:r>
        <w:br/>
      </w:r>
      <w:r>
        <w:t>casting vote" above.</w:t>
      </w:r>
    </w:p>
    <w:p>
      <w:pPr>
        <w:pStyle w:val="ListBullet"/>
      </w:pPr>
      <w:r>
        <w:rPr>
          <w:b/>
        </w:rPr>
        <w:t>IP &amp; confidentiality:</w:t>
      </w:r>
      <w:r>
        <w:t xml:space="preserve"> all work product assigns to the company from day one;</w:t>
      </w:r>
      <w:r>
        <w:br/>
      </w:r>
      <w:r>
        <w:t>confidentiality survives exit indefinitely; fiduciary duty applies while a director.</w:t>
      </w:r>
    </w:p>
    <w:p>
      <w:pPr>
        <w:pStyle w:val="ListBullet"/>
      </w:pPr>
      <w:r>
        <w:rPr>
          <w:b/>
        </w:rPr>
        <w:t>Dilution:</w:t>
      </w:r>
      <w:r>
        <w:t xml:space="preserve"> normal — future rounds dilute everyone proportionally; pool</w:t>
      </w:r>
      <w:r>
        <w:br/>
      </w:r>
      <w:r>
        <w:t>top-ups beyond 20% or pools from founder holdings require unanimous consent.</w:t>
      </w:r>
    </w:p>
    <w:p>
      <w:pPr>
        <w:pStyle w:val="ListBullet"/>
      </w:pPr>
      <w:r>
        <w:rPr>
          <w:b/>
        </w:rPr>
        <w:t>Not legal advice:</w:t>
      </w:r>
      <w:r>
        <w:t xml:space="preserve"> these templates must be reviewed by a Kenyan advocate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