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Founders' Shareholders' Agreement — Working Draft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Peter Mbugua (CEO)</w:t>
            </w:r>
          </w:p>
        </w:tc>
        <w:tc>
          <w:tcPr>
            <w:tcW w:type="dxa" w:w="2880"/>
          </w:tcPr>
          <w:p>
            <w:r>
              <w:t>2026-09-30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Working draft for Kenyan advocate review — not legal advice, not for signature until perfected</w:t>
            </w:r>
          </w:p>
        </w:tc>
      </w:tr>
    </w:tbl>
    <w:p/>
    <w:p>
      <w:r>
        <w:rPr>
          <w:b/>
        </w:rPr>
        <w:t>BuddyUp Ltd.</w:t>
      </w:r>
      <w:r>
        <w:t xml:space="preserve"> (incorporated in the Republic of Kenya)</w:t>
      </w:r>
    </w:p>
    <w:p>
      <w:pPr>
        <w:ind w:left="432"/>
      </w:pPr>
      <w:r>
        <w:rPr>
          <w:b/>
        </w:rPr>
        <w:t>Status:</w:t>
      </w:r>
      <w:r>
        <w:t xml:space="preserve"> This draft consolidates the four signed cofounder heads of terms</w:t>
      </w:r>
    </w:p>
    <w:p>
      <w:pPr>
        <w:ind w:left="432"/>
      </w:pPr>
      <w:r>
        <w:t>(</w:t>
      </w:r>
      <w:r>
        <w:rPr>
          <w:rFonts w:ascii="Consolas" w:hAnsi="Consolas"/>
        </w:rPr>
        <w:t>finance-strategy.md</w:t>
      </w:r>
      <w:r>
        <w:t xml:space="preserve">, </w:t>
      </w:r>
      <w:r>
        <w:rPr>
          <w:rFonts w:ascii="Consolas" w:hAnsi="Consolas"/>
        </w:rPr>
        <w:t>legal-research.md</w:t>
      </w:r>
      <w:r>
        <w:t xml:space="preserve">, </w:t>
      </w:r>
      <w:r>
        <w:rPr>
          <w:rFonts w:ascii="Consolas" w:hAnsi="Consolas"/>
        </w:rPr>
        <w:t>marketing-sales.md</w:t>
      </w:r>
      <w:r>
        <w:t xml:space="preserve">, </w:t>
      </w:r>
      <w:r>
        <w:rPr>
          <w:rFonts w:ascii="Consolas" w:hAnsi="Consolas"/>
        </w:rPr>
        <w:t>security.md</w:t>
      </w:r>
      <w:r>
        <w:t>)</w:t>
      </w:r>
    </w:p>
    <w:p>
      <w:pPr>
        <w:ind w:left="432"/>
      </w:pPr>
      <w:r>
        <w:t>and the shared framework in [</w:t>
      </w:r>
      <w:r>
        <w:rPr>
          <w:rFonts w:ascii="Consolas" w:hAnsi="Consolas"/>
        </w:rPr>
        <w:t>README.md</w:t>
      </w:r>
      <w:r>
        <w:t>](README.md) into a single instrument for</w:t>
      </w:r>
    </w:p>
    <w:p>
      <w:pPr>
        <w:ind w:left="432"/>
      </w:pPr>
      <w:r>
        <w:t xml:space="preserve">the advocate to perfect. It does </w:t>
      </w:r>
      <w:r>
        <w:rPr>
          <w:b/>
        </w:rPr>
        <w:t>not</w:t>
      </w:r>
      <w:r>
        <w:t xml:space="preserve"> replace professional drafting: the</w:t>
      </w:r>
    </w:p>
    <w:p>
      <w:pPr>
        <w:ind w:left="432"/>
      </w:pPr>
      <w:r>
        <w:t>advocate must verify every clause against the Companies Act 2015, the company's</w:t>
      </w:r>
    </w:p>
    <w:p>
      <w:pPr>
        <w:ind w:left="432"/>
      </w:pPr>
      <w:r>
        <w:t>articles and current law before execution (see the instruction checklist at the</w:t>
      </w:r>
    </w:p>
    <w:p>
      <w:pPr>
        <w:ind w:left="432"/>
      </w:pPr>
      <w:r>
        <w:t>end). Where this agreement conflicts with any heads of terms, **this agreement</w:t>
      </w:r>
    </w:p>
    <w:p>
      <w:pPr>
        <w:ind w:left="432"/>
      </w:pPr>
      <w:r>
        <w:t>prevails**.</w:t>
      </w:r>
    </w:p>
    <w:p>
      <w:pPr>
        <w:pStyle w:val="Heading2"/>
      </w:pPr>
      <w:r>
        <w:t>Parties</w:t>
      </w:r>
    </w:p>
    <w:p>
      <w:pPr>
        <w:ind w:left="360"/>
      </w:pPr>
      <w:r>
        <w:t xml:space="preserve">1. </w:t>
      </w:r>
      <w:r>
        <w:rPr>
          <w:b/>
        </w:rPr>
        <w:t>BuddyUp Ltd.</w:t>
      </w:r>
      <w:r>
        <w:t xml:space="preserve"> — company number [●], registered office [●] (the "Company").</w:t>
      </w:r>
    </w:p>
    <w:p>
      <w:pPr>
        <w:ind w:left="360"/>
      </w:pPr>
      <w:r>
        <w:t xml:space="preserve">2. </w:t>
      </w:r>
      <w:r>
        <w:rPr>
          <w:b/>
        </w:rPr>
        <w:t>Peter Mbugua</w:t>
      </w:r>
      <w:r>
        <w:t xml:space="preserve"> — ID/Passport [●] ("Founder 1 / CEO").</w:t>
      </w:r>
    </w:p>
    <w:p>
      <w:pPr>
        <w:ind w:left="360"/>
      </w:pPr>
      <w:r>
        <w:t xml:space="preserve">3. </w:t>
      </w:r>
      <w:r>
        <w:rPr>
          <w:b/>
        </w:rPr>
        <w:t>[Full legal name]</w:t>
      </w:r>
      <w:r>
        <w:t xml:space="preserve"> — ID/Passport [●] ("Founder 2 — Legal, Compliance &amp; Research").</w:t>
      </w:r>
    </w:p>
    <w:p>
      <w:pPr>
        <w:ind w:left="360"/>
      </w:pPr>
      <w:r>
        <w:t xml:space="preserve">4. </w:t>
      </w:r>
      <w:r>
        <w:rPr>
          <w:b/>
        </w:rPr>
        <w:t>[Full legal name]</w:t>
      </w:r>
      <w:r>
        <w:t xml:space="preserve"> — ID/Passport [●] ("Founder 3 — Marketing, Sales &amp; Partnerships").</w:t>
      </w:r>
    </w:p>
    <w:p>
      <w:pPr>
        <w:ind w:left="360"/>
      </w:pPr>
      <w:r>
        <w:t xml:space="preserve">5. </w:t>
      </w:r>
      <w:r>
        <w:rPr>
          <w:b/>
        </w:rPr>
        <w:t>[Full legal name]</w:t>
      </w:r>
      <w:r>
        <w:t xml:space="preserve"> — ID/Passport [●] ("Founder 4 — Security Engineering &amp; Trust").</w:t>
      </w:r>
    </w:p>
    <w:p>
      <w:pPr>
        <w:ind w:left="360"/>
      </w:pPr>
      <w:r>
        <w:t xml:space="preserve">6. </w:t>
      </w:r>
      <w:r>
        <w:rPr>
          <w:b/>
        </w:rPr>
        <w:t>[Full legal name]</w:t>
      </w:r>
      <w:r>
        <w:t xml:space="preserve"> — ID/Passport [●] ("Founder 5 — Finance, Strategy &amp; Controller").</w:t>
      </w:r>
    </w:p>
    <w:p>
      <w:r>
        <w:t>(each a "Founder"; together with the Company, the "Parties")</w:t>
      </w:r>
    </w:p>
    <w:p>
      <w:pPr>
        <w:pStyle w:val="Heading2"/>
      </w:pPr>
      <w:r>
        <w:t>1. Share capital and holdings</w:t>
      </w:r>
      <w:r>
        <w:br/>
      </w:r>
      <w:r>
        <w:t>1.1 On execution, the fully-diluted share capital of the Company stands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Holder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Shares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Fully-diluted</w:t>
            </w:r>
          </w:p>
        </w:tc>
      </w:tr>
      <w:tr>
        <w:tc>
          <w:tcPr>
            <w:tcW w:type="dxa" w:w="2160"/>
          </w:tcPr>
          <w:p>
            <w:r>
              <w:t>Peter Mbugua</w:t>
            </w:r>
          </w:p>
        </w:tc>
        <w:tc>
          <w:tcPr>
            <w:tcW w:type="dxa" w:w="2160"/>
          </w:tcPr>
          <w:p>
            <w:r>
              <w:t>Ordinary</w:t>
            </w:r>
          </w:p>
        </w:tc>
        <w:tc>
          <w:tcPr>
            <w:tcW w:type="dxa" w:w="2160"/>
          </w:tcPr>
          <w:p>
            <w:r>
              <w:t>[●]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16%</w:t>
            </w:r>
          </w:p>
        </w:tc>
      </w:tr>
      <w:tr>
        <w:tc>
          <w:tcPr>
            <w:tcW w:type="dxa" w:w="2160"/>
          </w:tcPr>
          <w:p>
            <w:r>
              <w:t>Founder 2</w:t>
            </w:r>
          </w:p>
        </w:tc>
        <w:tc>
          <w:tcPr>
            <w:tcW w:type="dxa" w:w="2160"/>
          </w:tcPr>
          <w:p>
            <w:r>
              <w:t>Ordinary</w:t>
            </w:r>
          </w:p>
        </w:tc>
        <w:tc>
          <w:tcPr>
            <w:tcW w:type="dxa" w:w="2160"/>
          </w:tcPr>
          <w:p>
            <w:r>
              <w:t>[●]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16%</w:t>
            </w:r>
          </w:p>
        </w:tc>
      </w:tr>
      <w:tr>
        <w:tc>
          <w:tcPr>
            <w:tcW w:type="dxa" w:w="2160"/>
          </w:tcPr>
          <w:p>
            <w:r>
              <w:t>Founder 3</w:t>
            </w:r>
          </w:p>
        </w:tc>
        <w:tc>
          <w:tcPr>
            <w:tcW w:type="dxa" w:w="2160"/>
          </w:tcPr>
          <w:p>
            <w:r>
              <w:t>Ordinary</w:t>
            </w:r>
          </w:p>
        </w:tc>
        <w:tc>
          <w:tcPr>
            <w:tcW w:type="dxa" w:w="2160"/>
          </w:tcPr>
          <w:p>
            <w:r>
              <w:t>[●]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16%</w:t>
            </w:r>
          </w:p>
        </w:tc>
      </w:tr>
      <w:tr>
        <w:tc>
          <w:tcPr>
            <w:tcW w:type="dxa" w:w="2160"/>
          </w:tcPr>
          <w:p>
            <w:r>
              <w:t>Founder 4</w:t>
            </w:r>
          </w:p>
        </w:tc>
        <w:tc>
          <w:tcPr>
            <w:tcW w:type="dxa" w:w="2160"/>
          </w:tcPr>
          <w:p>
            <w:r>
              <w:t>Ordinary</w:t>
            </w:r>
          </w:p>
        </w:tc>
        <w:tc>
          <w:tcPr>
            <w:tcW w:type="dxa" w:w="2160"/>
          </w:tcPr>
          <w:p>
            <w:r>
              <w:t>[●]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16%</w:t>
            </w:r>
          </w:p>
        </w:tc>
      </w:tr>
      <w:tr>
        <w:tc>
          <w:tcPr>
            <w:tcW w:type="dxa" w:w="2160"/>
          </w:tcPr>
          <w:p>
            <w:r>
              <w:t>Founder 5</w:t>
            </w:r>
          </w:p>
        </w:tc>
        <w:tc>
          <w:tcPr>
            <w:tcW w:type="dxa" w:w="2160"/>
          </w:tcPr>
          <w:p>
            <w:r>
              <w:t>Ordinary</w:t>
            </w:r>
          </w:p>
        </w:tc>
        <w:tc>
          <w:tcPr>
            <w:tcW w:type="dxa" w:w="2160"/>
          </w:tcPr>
          <w:p>
            <w:r>
              <w:t>[●]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16%</w:t>
            </w:r>
          </w:p>
        </w:tc>
      </w:tr>
      <w:tr>
        <w:tc>
          <w:tcPr>
            <w:tcW w:type="dxa" w:w="2160"/>
          </w:tcPr>
          <w:p>
            <w:r>
              <w:t>Unallocated reserve (future hires / option pool)</w:t>
            </w:r>
          </w:p>
        </w:tc>
        <w:tc>
          <w:tcPr>
            <w:tcW w:type="dxa" w:w="2160"/>
          </w:tcPr>
          <w:p>
            <w:r>
              <w:t>held for unanimous Founder decision</w:t>
            </w:r>
          </w:p>
        </w:tc>
        <w:tc>
          <w:tcPr>
            <w:tcW w:type="dxa" w:w="2160"/>
          </w:tcPr>
          <w:p>
            <w:r>
              <w:t>[●]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20%</w:t>
            </w:r>
          </w:p>
        </w:tc>
      </w:tr>
    </w:tbl>
    <w:p/>
    <w:p>
      <w:r>
        <w:t>1.2 The unallocated reserve is created at incorporation and funds future hires</w:t>
      </w:r>
    </w:p>
    <w:p>
      <w:r>
        <w:t>and options; no option grant dilutes Founders until the reserve is exhausted.</w:t>
      </w:r>
    </w:p>
    <w:p>
      <w:r>
        <w:t>Top-ups beyond 20% require unanimous Founder consent (clause 6.4).</w:t>
      </w:r>
    </w:p>
    <w:p>
      <w:r>
        <w:t>1.3 The advocate shall confirm the share register, stamp duty and BRS filings</w:t>
      </w:r>
    </w:p>
    <w:p>
      <w:r>
        <w:t>match this table before execution.</w:t>
      </w:r>
    </w:p>
    <w:p>
      <w:pPr>
        <w:pStyle w:val="Heading2"/>
      </w:pPr>
      <w:r>
        <w:t>2. Board of directors</w:t>
      </w:r>
      <w:r>
        <w:br/>
      </w:r>
      <w:r>
        <w:t>2.1 Each Founder holds one directorship: a board of five Founder-directors.</w:t>
      </w:r>
      <w:r>
        <w:br/>
      </w:r>
      <w:r>
        <w:t xml:space="preserve">2.2 The CEO </w:t>
      </w:r>
      <w:r>
        <w:rPr>
          <w:b/>
        </w:rPr>
        <w:t>chairs the board</w:t>
      </w:r>
      <w:r>
        <w:t xml:space="preserve"> and, as chair, holds a </w:t>
      </w:r>
      <w:r>
        <w:rPr>
          <w:b/>
        </w:rPr>
        <w:t>casting vote</w:t>
      </w:r>
      <w:r>
        <w:t xml:space="preserve"> on board</w:t>
      </w:r>
      <w:r>
        <w:br/>
      </w:r>
      <w:r>
        <w:t>resolutions in addition to a deliberate vote, in line with the Companies Act</w:t>
      </w:r>
      <w:r>
        <w:br/>
      </w:r>
      <w:r>
        <w:t>2015 model articles (clause 3 operationalises the same rule at founder level).</w:t>
      </w:r>
      <w:r>
        <w:br/>
      </w:r>
      <w:r>
        <w:t>2.3 Board meetings: at least monthly while the Company is pre-revenue; quorum</w:t>
      </w:r>
      <w:r>
        <w:br/>
      </w:r>
      <w:r>
        <w:t>three directors including the chair or a chair-delegated alternate.</w:t>
      </w:r>
    </w:p>
    <w:p>
      <w:pPr>
        <w:pStyle w:val="Heading2"/>
      </w:pPr>
      <w:r>
        <w:t>3. Decision-making, deadlock and the CEO casting vote</w:t>
      </w:r>
      <w:r>
        <w:br/>
      </w:r>
      <w:r>
        <w:t xml:space="preserve">3.1 </w:t>
      </w:r>
      <w:r>
        <w:rPr>
          <w:b/>
        </w:rPr>
        <w:t>Domain authority.</w:t>
      </w:r>
      <w:r>
        <w:t xml:space="preserve"> Each Founder decides within their own mandate (per the</w:t>
      </w:r>
      <w:r>
        <w:br/>
      </w:r>
      <w:r>
        <w:t>role schedules) and holds the vetoes stated there. Domain decisions do not</w:t>
      </w:r>
      <w:r>
        <w:br/>
      </w:r>
      <w:r>
        <w:t>require board or Founder approval unless they trigger a veto or a Reserved Matter.</w:t>
      </w:r>
      <w:r>
        <w:br/>
      </w:r>
      <w:r>
        <w:t xml:space="preserve">3.2 </w:t>
      </w:r>
      <w:r>
        <w:rPr>
          <w:b/>
        </w:rPr>
        <w:t>Deadlock procedure.</w:t>
      </w:r>
      <w:r>
        <w:t xml:space="preserve"> For cross-domain or company-level decisions that</w:t>
      </w:r>
      <w:r>
        <w:br/>
      </w:r>
      <w:r>
        <w:t>deadlock after genuine discussion:</w:t>
      </w:r>
      <w:r>
        <w:br/>
      </w:r>
      <w:r>
        <w:t>&amp;nbsp;&amp;nbsp;(a) each position is written down with reasons and evidence (one page maximum);</w:t>
      </w:r>
      <w:r>
        <w:br/>
      </w:r>
      <w:r>
        <w:t>&amp;nbsp;&amp;nbsp;(b) a 48-hour cool-off follows;</w:t>
      </w:r>
      <w:r>
        <w:br/>
      </w:r>
      <w:r>
        <w:t>&amp;nbsp;&amp;nbsp;(c) if the deadlock persists, the **CEO casts the deciding vote with</w:t>
      </w:r>
      <w:r>
        <w:br/>
      </w:r>
      <w:r>
        <w:t>written reasons within five working days**;</w:t>
      </w:r>
      <w:r>
        <w:br/>
      </w:r>
      <w:r>
        <w:t>&amp;nbsp;&amp;nbsp;(d) the decision is recorded in writing and all Founders</w:t>
      </w:r>
      <w:r>
        <w:br/>
      </w:r>
      <w:r>
        <w:rPr>
          <w:b/>
        </w:rPr>
        <w:t>disagree and commit</w:t>
      </w:r>
      <w:r>
        <w:t xml:space="preserve"> — no relitigation of a settled decision; and</w:t>
      </w:r>
      <w:r>
        <w:br/>
      </w:r>
      <w:r>
        <w:t xml:space="preserve">&amp;nbsp;&amp;nbsp;(e) the CEO is </w:t>
      </w:r>
      <w:r>
        <w:rPr>
          <w:b/>
        </w:rPr>
        <w:t>recused</w:t>
      </w:r>
      <w:r>
        <w:t xml:space="preserve"> from casting on any decision that directly</w:t>
      </w:r>
      <w:r>
        <w:br/>
      </w:r>
      <w:r>
        <w:t>affects the CEO's own equity, role or removal.</w:t>
      </w:r>
      <w:r>
        <w:br/>
      </w:r>
      <w:r>
        <w:t xml:space="preserve">3.3 </w:t>
      </w:r>
      <w:r>
        <w:rPr>
          <w:b/>
        </w:rPr>
        <w:t>Reserved Matters.</w:t>
      </w:r>
      <w:r>
        <w:t xml:space="preserve"> The following are never settled by the casting vote</w:t>
      </w:r>
      <w:r>
        <w:br/>
      </w:r>
      <w:r>
        <w:t xml:space="preserve">alone and require </w:t>
      </w:r>
      <w:r>
        <w:rPr>
          <w:b/>
        </w:rPr>
        <w:t>unanimous Founder consent</w:t>
      </w:r>
      <w:r>
        <w:t xml:space="preserve"> (with any board/shareholder</w:t>
      </w:r>
      <w:r>
        <w:br/>
      </w:r>
      <w:r>
        <w:t>resolutions the advocate requires):</w:t>
      </w:r>
      <w:r>
        <w:br/>
      </w:r>
      <w:r>
        <w:t>&amp;nbsp;&amp;nbsp;(a) sale, merger, amalgamation or dissolution of the Company, or transfer</w:t>
      </w:r>
      <w:r>
        <w:br/>
      </w:r>
      <w:r>
        <w:t>of the whole or a substantial part of its undertaking;</w:t>
      </w:r>
      <w:r>
        <w:br/>
      </w:r>
      <w:r>
        <w:t>&amp;nbsp;&amp;nbsp;(b) adding or removing a Founder (grant of founder equity, leaver</w:t>
      </w:r>
      <w:r>
        <w:br/>
      </w:r>
      <w:r>
        <w:t>determination, or termination of a Founder's engagement);</w:t>
      </w:r>
      <w:r>
        <w:br/>
      </w:r>
      <w:r>
        <w:t>&amp;nbsp;&amp;nbsp;(c) any change to the equity split, share classes, or the 20% reserve</w:t>
      </w:r>
      <w:r>
        <w:br/>
      </w:r>
      <w:r>
        <w:t>and option-pool top-ups beyond 20%;</w:t>
      </w:r>
      <w:r>
        <w:br/>
      </w:r>
      <w:r>
        <w:t>&amp;nbsp;&amp;nbsp;(d) removal of the CEO;</w:t>
      </w:r>
      <w:r>
        <w:br/>
      </w:r>
      <w:r>
        <w:t>&amp;nbsp;&amp;nbsp;(e) any amendment to this clause 3 or to the Reserved Matters list; and</w:t>
      </w:r>
      <w:r>
        <w:br/>
      </w:r>
      <w:r>
        <w:t>&amp;nbsp;&amp;nbsp;(f) [advocate to consider: incurrence of debt above [●]; related-party</w:t>
      </w:r>
      <w:r>
        <w:br/>
      </w:r>
      <w:r>
        <w:t>transactions; change of auditors].</w:t>
      </w:r>
      <w:r>
        <w:br/>
      </w:r>
      <w:r>
        <w:t xml:space="preserve">3.4 </w:t>
      </w:r>
      <w:r>
        <w:rPr>
          <w:b/>
        </w:rPr>
        <w:t>CEO authority.</w:t>
      </w:r>
      <w:r>
        <w:t xml:space="preserve"> Subject to 3.3, the CEO runs the Company day-to-day and</w:t>
      </w:r>
      <w:r>
        <w:br/>
      </w:r>
      <w:r>
        <w:t>implements board and Founder decisions.</w:t>
      </w:r>
      <w:r>
        <w:br/>
      </w:r>
      <w:r>
        <w:t xml:space="preserve">3.5 </w:t>
      </w:r>
      <w:r>
        <w:rPr>
          <w:b/>
        </w:rPr>
        <w:t>Removal of the CEO.</w:t>
      </w:r>
      <w:r>
        <w:t xml:space="preserve"> By resolution of a majority of the non-CEO Founder</w:t>
      </w:r>
      <w:r>
        <w:br/>
      </w:r>
      <w:r>
        <w:t>directors, after written notice and a board meeting at which the CEO has the</w:t>
      </w:r>
      <w:r>
        <w:br/>
      </w:r>
      <w:r>
        <w:t>right to be heard. Removal under this clause is not by itself a bad-leaver event.</w:t>
      </w:r>
    </w:p>
    <w:p>
      <w:pPr>
        <w:pStyle w:val="Heading2"/>
      </w:pPr>
      <w:r>
        <w:t>4. Vesting, leavers and buy-backs</w:t>
      </w:r>
      <w:r>
        <w:br/>
      </w:r>
      <w:r>
        <w:t xml:space="preserve">4.1 All founder equity vests </w:t>
      </w:r>
      <w:r>
        <w:rPr>
          <w:b/>
        </w:rPr>
        <w:t>monthly over four years with a one-year cliff</w:t>
      </w:r>
      <w:r>
        <w:br/>
      </w:r>
      <w:r>
        <w:t>(25% retroactive at the cliff, then 1/36 monthly).</w:t>
      </w:r>
      <w:r>
        <w:br/>
      </w:r>
      <w:r>
        <w:t xml:space="preserve">4.2 </w:t>
      </w:r>
      <w:r>
        <w:rPr>
          <w:b/>
        </w:rPr>
        <w:t>Good leaver</w:t>
      </w:r>
      <w:r>
        <w:t xml:space="preserve"> — by default, every departure that is not a bad leaver is a</w:t>
      </w:r>
      <w:r>
        <w:br/>
      </w:r>
      <w:r>
        <w:t>good leaver, including death or serious illness, mutual agreement, role</w:t>
      </w:r>
      <w:r>
        <w:br/>
      </w:r>
      <w:r>
        <w:t>eliminated, or resignation for good reason (material reduction in agreed</w:t>
      </w:r>
      <w:r>
        <w:br/>
      </w:r>
      <w:r>
        <w:t>role/commitment, unpaid equity terms, or a change the Founder did not consent</w:t>
      </w:r>
      <w:r>
        <w:br/>
      </w:r>
      <w:r>
        <w:t>to). Treatment: vested shares retained; unvested cancelled or partly accelerated</w:t>
      </w:r>
      <w:r>
        <w:br/>
      </w:r>
      <w:r>
        <w:t>at board discretion.</w:t>
      </w:r>
      <w:r>
        <w:br/>
      </w:r>
      <w:r>
        <w:t xml:space="preserve">4.3 </w:t>
      </w:r>
      <w:r>
        <w:rPr>
          <w:b/>
        </w:rPr>
        <w:t>Bad leaver</w:t>
      </w:r>
      <w:r>
        <w:t xml:space="preserve"> — only the following, determined by a majority of the</w:t>
      </w:r>
      <w:r>
        <w:br/>
      </w:r>
      <w:r>
        <w:t>non-affected Founders (or the board where independent):</w:t>
      </w:r>
      <w:r>
        <w:br/>
      </w:r>
      <w:r>
        <w:t>&amp;nbsp;&amp;nbsp;(a) gross misconduct or fraud;</w:t>
      </w:r>
      <w:r>
        <w:br/>
      </w:r>
      <w:r>
        <w:t>&amp;nbsp;&amp;nbsp;(b) conviction of an offence involving dishonesty;</w:t>
      </w:r>
      <w:r>
        <w:br/>
      </w:r>
      <w:r>
        <w:t>&amp;nbsp;&amp;nbsp;(c) material breach of this agreement (including concealment of a known,</w:t>
      </w:r>
      <w:r>
        <w:br/>
      </w:r>
      <w:r>
        <w:t>material interest declared under clause 7, or breach of confidentiality/IP assignment);</w:t>
      </w:r>
      <w:r>
        <w:br/>
      </w:r>
      <w:r>
        <w:t>&amp;nbsp;&amp;nbsp;(d) resignation without good reason within 24 months after the cliff;</w:t>
      </w:r>
      <w:r>
        <w:br/>
      </w:r>
      <w:r>
        <w:t>&amp;nbsp;&amp;nbsp;(e) persistent failure to meet the agreed commitment after written</w:t>
      </w:r>
      <w:r>
        <w:br/>
      </w:r>
      <w:r>
        <w:t>warning and a 30-day cure period; or</w:t>
      </w:r>
      <w:r>
        <w:br/>
      </w:r>
      <w:r>
        <w:t>&amp;nbsp;&amp;nbsp;(f) conduct that seriously damages the Company's reputation or</w:t>
      </w:r>
      <w:r>
        <w:br/>
      </w:r>
      <w:r>
        <w:t>regulatory standing.</w:t>
      </w:r>
      <w:r>
        <w:br/>
      </w:r>
      <w:r>
        <w:t>Treatment: unvested shares cancel; vested shares are **bought back at fair market</w:t>
      </w:r>
      <w:r>
        <w:br/>
      </w:r>
      <w:r>
        <w:t>value** — determined by an independent valuator jointly appointed by the Company</w:t>
      </w:r>
      <w:r>
        <w:br/>
      </w:r>
      <w:r>
        <w:t>and the leaver, or, if an arm's-length financing or valuation occurred within the</w:t>
      </w:r>
      <w:r>
        <w:br/>
      </w:r>
      <w:r>
        <w:t>preceding 12 months, at that round's price per share. Proceeds payable within 60</w:t>
      </w:r>
      <w:r>
        <w:br/>
      </w:r>
      <w:r>
        <w:t>days of the valuation. Nothing outside this list is bad-leaver conduct.</w:t>
      </w:r>
      <w:r>
        <w:br/>
      </w:r>
      <w:r>
        <w:t xml:space="preserve">4.4 </w:t>
      </w:r>
      <w:r>
        <w:rPr>
          <w:b/>
        </w:rPr>
        <w:t>Acceleration.</w:t>
      </w:r>
      <w:r>
        <w:t xml:space="preserve"> No single-trigger acceleration. </w:t>
      </w:r>
      <w:r>
        <w:rPr>
          <w:b/>
        </w:rPr>
        <w:t>Double-trigger</w:t>
      </w:r>
      <w:r>
        <w:t xml:space="preserve"> (change</w:t>
      </w:r>
      <w:r>
        <w:br/>
      </w:r>
      <w:r>
        <w:t>of control plus termination without cause, or resignation for good reason</w:t>
      </w:r>
      <w:r>
        <w:br/>
      </w:r>
      <w:r>
        <w:t xml:space="preserve">following a change of control) accelerates </w:t>
      </w:r>
      <w:r>
        <w:rPr>
          <w:b/>
        </w:rPr>
        <w:t>100% of unvested shares</w:t>
      </w:r>
      <w:r>
        <w:t>. A change</w:t>
      </w:r>
      <w:r>
        <w:br/>
      </w:r>
      <w:r>
        <w:t>of control alone accelerates nothing.</w:t>
      </w:r>
      <w:r>
        <w:br/>
      </w:r>
      <w:r>
        <w:t xml:space="preserve">4.5 </w:t>
      </w:r>
      <w:r>
        <w:rPr>
          <w:b/>
        </w:rPr>
        <w:t>Death or permanent incapacity.</w:t>
      </w:r>
      <w:r>
        <w:t xml:space="preserve"> Treat as a good leaver; the buy-back</w:t>
      </w:r>
      <w:r>
        <w:br/>
      </w:r>
      <w:r>
        <w:t>mechanism in 4.3 applies to vested shares at fair market value, payable to the</w:t>
      </w:r>
      <w:r>
        <w:br/>
      </w:r>
      <w:r>
        <w:t>estate or the Founder as appropriate. [Advocate to advise on keyman insurance.]</w:t>
      </w:r>
    </w:p>
    <w:p>
      <w:pPr>
        <w:pStyle w:val="Heading2"/>
      </w:pPr>
      <w:r>
        <w:t>5. Transfers</w:t>
      </w:r>
      <w:r>
        <w:br/>
      </w:r>
      <w:r>
        <w:t xml:space="preserve">5.1 </w:t>
      </w:r>
      <w:r>
        <w:rPr>
          <w:b/>
        </w:rPr>
        <w:t>Lock-in.</w:t>
      </w:r>
      <w:r>
        <w:t xml:space="preserve"> Founders may not transfer shares except under this agreement.</w:t>
      </w:r>
      <w:r>
        <w:br/>
      </w:r>
      <w:r>
        <w:t xml:space="preserve">5.2 </w:t>
      </w:r>
      <w:r>
        <w:rPr>
          <w:b/>
        </w:rPr>
        <w:t>Pre-emption.</w:t>
      </w:r>
      <w:r>
        <w:t xml:space="preserve"> Any proposed transfer is first offered pro rata to the</w:t>
      </w:r>
      <w:r>
        <w:br/>
      </w:r>
      <w:r>
        <w:t>other Founders and then to the Company, at the price determined under clause 4.3</w:t>
      </w:r>
      <w:r>
        <w:br/>
      </w:r>
      <w:r>
        <w:t>or at freely negotiated arm's-length value, per the procedure the advocate</w:t>
      </w:r>
      <w:r>
        <w:br/>
      </w:r>
      <w:r>
        <w:t>drafts (offer notice, 30-day window).</w:t>
      </w:r>
      <w:r>
        <w:br/>
      </w:r>
      <w:r>
        <w:t xml:space="preserve">5.3 </w:t>
      </w:r>
      <w:r>
        <w:rPr>
          <w:b/>
        </w:rPr>
        <w:t>Tag-along / drag-along.</w:t>
      </w:r>
      <w:r>
        <w:t xml:space="preserve"> [Advocate to draft: tag-along protection for</w:t>
      </w:r>
      <w:r>
        <w:br/>
      </w:r>
      <w:r>
        <w:t>minority Founders on any majority sale; drag-along binding all Founders at a</w:t>
      </w:r>
      <w:r>
        <w:br/>
      </w:r>
      <w:r>
        <w:t>price per share no lower than fair market value, subject to Reserved Matter</w:t>
      </w:r>
      <w:r>
        <w:br/>
      </w:r>
      <w:r>
        <w:t>(a).]</w:t>
      </w:r>
    </w:p>
    <w:p>
      <w:pPr>
        <w:pStyle w:val="Heading2"/>
      </w:pPr>
      <w:r>
        <w:t>6. Option pool and future issues</w:t>
      </w:r>
      <w:r>
        <w:br/>
      </w:r>
      <w:r>
        <w:t>6.1 The 20% unallocated reserve is administered by unanimous Founder consent.</w:t>
      </w:r>
      <w:r>
        <w:br/>
      </w:r>
      <w:r>
        <w:t>6.2 New issuances dilute all holders pro rata; no founder anti-dilution.</w:t>
      </w:r>
      <w:r>
        <w:br/>
      </w:r>
      <w:r>
        <w:t>6.3 [Advocate to draft: pre-emption on new issues consistent with future priced</w:t>
      </w:r>
      <w:r>
        <w:br/>
      </w:r>
      <w:r>
        <w:t>rounds; ESOP vesting standards (4-year monthly, 1-year cliff).]</w:t>
      </w:r>
      <w:r>
        <w:br/>
      </w:r>
      <w:r>
        <w:t>6.4 Pool top-ups beyond 20%, or any pool creation from founder holdings,</w:t>
      </w:r>
      <w:r>
        <w:br/>
      </w:r>
      <w:r>
        <w:t>require unanimous Founder consent (Reserved Matter (c)).</w:t>
      </w:r>
    </w:p>
    <w:p>
      <w:pPr>
        <w:pStyle w:val="Heading2"/>
      </w:pPr>
      <w:r>
        <w:t>7. Declaration of interests</w:t>
      </w:r>
      <w:r>
        <w:br/>
      </w:r>
      <w:r>
        <w:t>7.1 Each Founder completes a written declaration of interests on execution</w:t>
      </w:r>
      <w:r>
        <w:br/>
      </w:r>
      <w:r>
        <w:t>(current employment, businesses, directorships, significant investments and</w:t>
      </w:r>
      <w:r>
        <w:br/>
      </w:r>
      <w:r>
        <w:t>other commitments) and refreshes it on material change and at least every six</w:t>
      </w:r>
      <w:r>
        <w:br/>
      </w:r>
      <w:r>
        <w:t>months; the Company maintains a register.</w:t>
      </w:r>
      <w:r>
        <w:br/>
      </w:r>
      <w:r>
        <w:t>7.2 Outside work is permitted and is not, by itself, a conflict. Disclosure is</w:t>
      </w:r>
      <w:r>
        <w:br/>
      </w:r>
      <w:r>
        <w:t>required where an interest could materially impair impartiality, divert Company</w:t>
      </w:r>
      <w:r>
        <w:br/>
      </w:r>
      <w:r>
        <w:t>work elsewhere, or place the Founder opposite the Company. Conflicts that arise</w:t>
      </w:r>
      <w:r>
        <w:br/>
      </w:r>
      <w:r>
        <w:t>in a specific matter are managed case by case (recusal, information barrier,</w:t>
      </w:r>
      <w:r>
        <w:br/>
      </w:r>
      <w:r>
        <w:t>re-scoping).</w:t>
      </w:r>
      <w:r>
        <w:br/>
      </w:r>
      <w:r>
        <w:t>7.3 Good-faith disclosure is always safe; only concealment of a known, material</w:t>
      </w:r>
      <w:r>
        <w:br/>
      </w:r>
      <w:r>
        <w:t>interest is a breach (and a bad-leaver trigger under 4.3(c)).</w:t>
      </w:r>
    </w:p>
    <w:p>
      <w:pPr>
        <w:pStyle w:val="Heading2"/>
      </w:pPr>
      <w:r>
        <w:t>8. IP, confidentiality and commitment</w:t>
      </w:r>
      <w:r>
        <w:br/>
      </w:r>
      <w:r>
        <w:t>8.1 All work product created in the course of the engagement assigns to the</w:t>
      </w:r>
      <w:r>
        <w:br/>
      </w:r>
      <w:r>
        <w:t>Company from creation; confidentiality is indefinite and binds from signature.</w:t>
      </w:r>
      <w:r>
        <w:br/>
      </w:r>
      <w:r>
        <w:t>8.2 Founder engagements are part-time (minimum 10 hours per week) unless</w:t>
      </w:r>
      <w:r>
        <w:br/>
      </w:r>
      <w:r>
        <w:t>amended by mutual written agreement; commitment is measured by outcomes per the</w:t>
      </w:r>
      <w:r>
        <w:br/>
      </w:r>
      <w:r>
        <w:t>role schedules, with level reviewed after the foundations period.</w:t>
      </w:r>
      <w:r>
        <w:br/>
      </w:r>
      <w:r>
        <w:t>8.3 The first 90 days from each Founder's start date remain a mutual foundations</w:t>
      </w:r>
      <w:r>
        <w:br/>
      </w:r>
      <w:r>
        <w:t>period per the heads of terms.</w:t>
      </w:r>
    </w:p>
    <w:p>
      <w:pPr>
        <w:pStyle w:val="Heading2"/>
      </w:pPr>
      <w:r>
        <w:t>9. Director protections</w:t>
      </w:r>
      <w:r>
        <w:br/>
      </w:r>
      <w:r>
        <w:t xml:space="preserve">9.1 Before any board appointment, the Company binds </w:t>
      </w:r>
      <w:r>
        <w:rPr>
          <w:b/>
        </w:rPr>
        <w:t>D&amp;O insurance</w:t>
      </w:r>
      <w:r>
        <w:t xml:space="preserve"> or executes</w:t>
      </w:r>
      <w:r>
        <w:br/>
      </w:r>
      <w:r>
        <w:t>a written indemnity to the fullest extent permitted by the Companies Act 2015,</w:t>
      </w:r>
      <w:r>
        <w:br/>
      </w:r>
      <w:r>
        <w:t>covering regulatory exposure arising from payments, health-adjacent content and</w:t>
      </w:r>
      <w:r>
        <w:br/>
      </w:r>
      <w:r>
        <w:t>personal-data processing.</w:t>
      </w:r>
      <w:r>
        <w:br/>
      </w:r>
      <w:r>
        <w:t>9.2 The Company maintains that cover while any Founder is a director.</w:t>
      </w:r>
    </w:p>
    <w:p>
      <w:pPr>
        <w:pStyle w:val="Heading2"/>
      </w:pPr>
      <w:r>
        <w:t>10. Costs of this agreement</w:t>
      </w:r>
      <w:r>
        <w:br/>
      </w:r>
      <w:r>
        <w:t>10.1 The advocate jointly retained for this agreement is instructed by the</w:t>
      </w:r>
      <w:r>
        <w:br/>
      </w:r>
      <w:r>
        <w:rPr>
          <w:b/>
        </w:rPr>
        <w:t>Company</w:t>
      </w:r>
      <w:r>
        <w:t xml:space="preserve">; the fees are an </w:t>
      </w:r>
      <w:r>
        <w:rPr>
          <w:b/>
        </w:rPr>
        <w:t>operational expense of the Company</w:t>
      </w:r>
      <w:r>
        <w:t>, with the</w:t>
      </w:r>
      <w:r>
        <w:br/>
      </w:r>
      <w:r>
        <w:t>engagement letter (scope, estimate, any cap) confirmed in writing and shared</w:t>
      </w:r>
      <w:r>
        <w:br/>
      </w:r>
      <w:r>
        <w:t>with all Founders before instruction.</w:t>
      </w:r>
      <w:r>
        <w:br/>
      </w:r>
      <w:r>
        <w:t>10.2 Any separate personal-review advocate a Founder engages is at that</w:t>
      </w:r>
      <w:r>
        <w:br/>
      </w:r>
      <w:r>
        <w:t>Founder's own cost.</w:t>
      </w:r>
    </w:p>
    <w:p>
      <w:pPr>
        <w:pStyle w:val="Heading2"/>
      </w:pPr>
      <w:r>
        <w:t>11. Dispute resolution</w:t>
      </w:r>
      <w:r>
        <w:br/>
      </w:r>
      <w:r>
        <w:t xml:space="preserve">11.1 Disputes on Reserved Matters first go to </w:t>
      </w:r>
      <w:r>
        <w:rPr>
          <w:b/>
        </w:rPr>
        <w:t>mediation</w:t>
      </w:r>
      <w:r>
        <w:t>: a single mediator</w:t>
      </w:r>
      <w:r>
        <w:br/>
      </w:r>
      <w:r>
        <w:t>jointly appointed within 30 days, mediated within 60 days, costs shared equally.</w:t>
      </w:r>
      <w:r>
        <w:br/>
      </w:r>
      <w:r>
        <w:t>11.2 [Advocate to draft: failing mediation, binding arbitration — advocate to</w:t>
      </w:r>
      <w:r>
        <w:br/>
      </w:r>
      <w:r>
        <w:t>recommend Nairobi Centre for International Arbitration vs. Kenya Centre for</w:t>
      </w:r>
      <w:r>
        <w:br/>
      </w:r>
      <w:r>
        <w:t>Arbitration, seat Nairobi, language English.]</w:t>
      </w:r>
      <w:r>
        <w:br/>
      </w:r>
      <w:r>
        <w:t>11.3 Nothing in this clause prevents the casting-vote procedure in clause 3.2</w:t>
      </w:r>
      <w:r>
        <w:br/>
      </w:r>
      <w:r>
        <w:t>from operating on non-Reserved matters.</w:t>
      </w:r>
    </w:p>
    <w:p>
      <w:pPr>
        <w:pStyle w:val="Heading2"/>
      </w:pPr>
      <w:r>
        <w:t>12. Governing law</w:t>
      </w:r>
      <w:r>
        <w:br/>
      </w:r>
      <w:r>
        <w:t>12.1 This agreement is governed by the laws of the Republic of Kenya, subject to</w:t>
      </w:r>
      <w:r>
        <w:br/>
      </w:r>
      <w:r>
        <w:t>the arbitration clause.</w:t>
      </w:r>
    </w:p>
    <w:p>
      <w:pPr>
        <w:pStyle w:val="Heading2"/>
      </w:pPr>
      <w:r>
        <w:t>Schedules (advocate to attach/perfect)</w:t>
      </w:r>
    </w:p>
    <w:p>
      <w:pPr>
        <w:pStyle w:val="ListBullet"/>
      </w:pPr>
      <w:r>
        <w:rPr>
          <w:b/>
        </w:rPr>
        <w:t>Schedule 1</w:t>
      </w:r>
      <w:r>
        <w:t xml:space="preserve"> — Founder details and shareholdings (table in clause 1.1).</w:t>
      </w:r>
    </w:p>
    <w:p>
      <w:pPr>
        <w:pStyle w:val="ListBullet"/>
      </w:pPr>
      <w:r>
        <w:rPr>
          <w:b/>
        </w:rPr>
        <w:t>Schedule 2</w:t>
      </w:r>
      <w:r>
        <w:t xml:space="preserve"> — Role mandates, commitment and domain decision rights</w:t>
      </w:r>
      <w:r>
        <w:br/>
      </w:r>
      <w:r>
        <w:t>(incorporate the four cofounder agreements by reference).</w:t>
      </w:r>
    </w:p>
    <w:p>
      <w:pPr>
        <w:pStyle w:val="ListBullet"/>
      </w:pPr>
      <w:r>
        <w:rPr>
          <w:b/>
        </w:rPr>
        <w:t>Schedule 3</w:t>
      </w:r>
      <w:r>
        <w:t xml:space="preserve"> — Declaration of interests template and register.</w:t>
      </w:r>
    </w:p>
    <w:p>
      <w:pPr>
        <w:pStyle w:val="ListBullet"/>
      </w:pPr>
      <w:r>
        <w:rPr>
          <w:b/>
        </w:rPr>
        <w:t>Schedule 4</w:t>
      </w:r>
      <w:r>
        <w:t xml:space="preserve"> — Articles of association conformed to clauses 2–3.</w:t>
      </w:r>
    </w:p>
    <w:p>
      <w:pPr>
        <w:pStyle w:val="Heading2"/>
      </w:pPr>
      <w:r>
        <w:t>Advocate instruction checklist</w:t>
      </w:r>
    </w:p>
    <w:p>
      <w:pPr>
        <w:ind w:left="360"/>
      </w:pPr>
      <w:r>
        <w:t xml:space="preserve">1. </w:t>
      </w:r>
      <w:r>
        <w:rPr>
          <w:b/>
        </w:rPr>
        <w:t>Corporate records:</w:t>
      </w:r>
      <w:r>
        <w:t xml:space="preserve"> CR12, share register, and BRS filings must match</w:t>
      </w:r>
    </w:p>
    <w:p>
      <w:r>
        <w:t>clause 1.1; confirm incorporation status and any name-approval delays do not</w:t>
      </w:r>
    </w:p>
    <w:p>
      <w:r>
        <w:t>block execution (signing can proceed; filings follow).</w:t>
      </w:r>
    </w:p>
    <w:p>
      <w:pPr>
        <w:ind w:left="360"/>
      </w:pPr>
      <w:r>
        <w:t xml:space="preserve">2. </w:t>
      </w:r>
      <w:r>
        <w:rPr>
          <w:b/>
        </w:rPr>
        <w:t>Casting vote:</w:t>
      </w:r>
      <w:r>
        <w:t xml:space="preserve"> conform the articles to the chair's casting vote (model</w:t>
      </w:r>
    </w:p>
    <w:p>
      <w:r>
        <w:t>articles baseline) and confirm no conflict with the Companies Act 2015.</w:t>
      </w:r>
    </w:p>
    <w:p>
      <w:pPr>
        <w:ind w:left="360"/>
      </w:pPr>
      <w:r>
        <w:t xml:space="preserve">3. </w:t>
      </w:r>
      <w:r>
        <w:rPr>
          <w:b/>
        </w:rPr>
        <w:t>Leaver mechanics:</w:t>
      </w:r>
      <w:r>
        <w:t xml:space="preserve"> confirm the FMV buy-back and share-transfer machinery</w:t>
      </w:r>
    </w:p>
    <w:p>
      <w:r>
        <w:t>(instrument of transfer, board approval, stamp duty, capital-gains treatment).</w:t>
      </w:r>
    </w:p>
    <w:p>
      <w:pPr>
        <w:ind w:left="360"/>
      </w:pPr>
      <w:r>
        <w:t xml:space="preserve">4. </w:t>
      </w:r>
      <w:r>
        <w:rPr>
          <w:b/>
        </w:rPr>
        <w:t>Employment/engagement status:</w:t>
      </w:r>
      <w:r>
        <w:t xml:space="preserve"> founders under these heads are not</w:t>
      </w:r>
    </w:p>
    <w:p>
      <w:r>
        <w:t>employees — confirm the consultancy/engagement structure, NSSF/SHIF/PAYE</w:t>
      </w:r>
    </w:p>
    <w:p>
      <w:r>
        <w:t>posture and any implied-employment risk.</w:t>
      </w:r>
    </w:p>
    <w:p>
      <w:pPr>
        <w:ind w:left="360"/>
      </w:pPr>
      <w:r>
        <w:t xml:space="preserve">5. </w:t>
      </w:r>
      <w:r>
        <w:rPr>
          <w:b/>
        </w:rPr>
        <w:t>Restraints:</w:t>
      </w:r>
      <w:r>
        <w:t xml:space="preserve"> confirm enforceability of confidentiality, IP assignment and</w:t>
      </w:r>
    </w:p>
    <w:p>
      <w:r>
        <w:t>any non-solicit provisions under Kenyan restraint-of-trade doctrine.</w:t>
      </w:r>
    </w:p>
    <w:p>
      <w:pPr>
        <w:ind w:left="360"/>
      </w:pPr>
      <w:r>
        <w:t xml:space="preserve">6. </w:t>
      </w:r>
      <w:r>
        <w:rPr>
          <w:b/>
        </w:rPr>
        <w:t>Insurance:</w:t>
      </w:r>
      <w:r>
        <w:t xml:space="preserve"> obtain D&amp;O quotes covering directors of a platform handling</w:t>
      </w:r>
    </w:p>
    <w:p>
      <w:r>
        <w:t>payments, health content and personal data; bind before first board meeting.</w:t>
      </w:r>
    </w:p>
    <w:p>
      <w:pPr>
        <w:ind w:left="360"/>
      </w:pPr>
      <w:r>
        <w:t xml:space="preserve">7. </w:t>
      </w:r>
      <w:r>
        <w:rPr>
          <w:b/>
        </w:rPr>
        <w:t>Arbitration:</w:t>
      </w:r>
      <w:r>
        <w:t xml:space="preserve"> recommend institution (NCIA vs. KIAC), seat and clause</w:t>
      </w:r>
    </w:p>
    <w:p>
      <w:r>
        <w:t>wording; align with the mediation pathway in clause 11.</w:t>
      </w:r>
    </w:p>
    <w:p>
      <w:pPr>
        <w:ind w:left="360"/>
      </w:pPr>
      <w:r>
        <w:t xml:space="preserve">8. </w:t>
      </w:r>
      <w:r>
        <w:rPr>
          <w:b/>
        </w:rPr>
        <w:t>Tax:</w:t>
      </w:r>
      <w:r>
        <w:t xml:space="preserve"> advise on CGT treatment of buy-backs at fair market value and on any</w:t>
      </w:r>
    </w:p>
    <w:p>
      <w:r>
        <w:t>option-pool grants (ESOP tax points).</w:t>
      </w:r>
    </w:p>
    <w:p>
      <w:pPr>
        <w:ind w:left="360"/>
      </w:pPr>
      <w:r>
        <w:t xml:space="preserve">9. </w:t>
      </w:r>
      <w:r>
        <w:rPr>
          <w:b/>
        </w:rPr>
        <w:t>Schedules:</w:t>
      </w:r>
      <w:r>
        <w:t xml:space="preserve"> attach the four cofounder agreements, interests template and</w:t>
      </w:r>
    </w:p>
    <w:p>
      <w:r>
        <w:t>conformed articles; circulate execution versions to all Founders with at</w:t>
      </w:r>
    </w:p>
    <w:p>
      <w:r>
        <w:t>least one week and independent-counsel access before signing (per the</w:t>
      </w:r>
    </w:p>
    <w:p>
      <w:r>
        <w:t>heads of terms).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